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96" w:rsidRPr="009654A4" w:rsidRDefault="003B1F96" w:rsidP="00ED2730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9654A4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3B1F96" w:rsidRPr="009654A4" w:rsidRDefault="003B1F96" w:rsidP="00ED273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B1F96" w:rsidRPr="009654A4" w:rsidRDefault="003B1F96" w:rsidP="00ED273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3B1F96" w:rsidRPr="009654A4" w:rsidRDefault="003B1F96" w:rsidP="00ED273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</w:p>
    <w:p w:rsidR="009654A4" w:rsidRPr="009654A4" w:rsidRDefault="009654A4" w:rsidP="00ED273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t>від „</w:t>
      </w:r>
      <w:r w:rsidR="00621B4D">
        <w:rPr>
          <w:rFonts w:ascii="Times New Roman" w:hAnsi="Times New Roman" w:cs="Times New Roman"/>
          <w:sz w:val="28"/>
          <w:szCs w:val="28"/>
        </w:rPr>
        <w:t>03</w:t>
      </w:r>
      <w:r w:rsidRPr="009654A4">
        <w:rPr>
          <w:rFonts w:ascii="Times New Roman" w:hAnsi="Times New Roman" w:cs="Times New Roman"/>
          <w:sz w:val="28"/>
          <w:szCs w:val="28"/>
        </w:rPr>
        <w:t>“</w:t>
      </w:r>
      <w:r w:rsidR="003B1F96" w:rsidRPr="009654A4">
        <w:rPr>
          <w:rFonts w:ascii="Times New Roman" w:hAnsi="Times New Roman" w:cs="Times New Roman"/>
          <w:sz w:val="28"/>
          <w:szCs w:val="28"/>
        </w:rPr>
        <w:t xml:space="preserve"> </w:t>
      </w:r>
      <w:r w:rsidR="00621B4D"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Pr="009654A4">
        <w:rPr>
          <w:rFonts w:ascii="Times New Roman" w:hAnsi="Times New Roman" w:cs="Times New Roman"/>
          <w:sz w:val="28"/>
          <w:szCs w:val="28"/>
        </w:rPr>
        <w:t>2023 р.</w:t>
      </w:r>
    </w:p>
    <w:p w:rsidR="009654A4" w:rsidRDefault="003B1F96" w:rsidP="00621B4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t xml:space="preserve">№ </w:t>
      </w:r>
      <w:r w:rsidR="00621B4D">
        <w:rPr>
          <w:rFonts w:ascii="Times New Roman" w:hAnsi="Times New Roman" w:cs="Times New Roman"/>
          <w:sz w:val="28"/>
          <w:szCs w:val="28"/>
        </w:rPr>
        <w:t>79/01/2023-ОД</w:t>
      </w:r>
    </w:p>
    <w:p w:rsidR="00621B4D" w:rsidRDefault="00621B4D" w:rsidP="00621B4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730" w:rsidRDefault="00ED2730" w:rsidP="00ED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4A4" w:rsidRPr="009654A4" w:rsidRDefault="009654A4" w:rsidP="00ED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F96" w:rsidRPr="009654A4" w:rsidRDefault="003B1F96" w:rsidP="00ED2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ПОЛОЖЕННЯ</w:t>
      </w:r>
    </w:p>
    <w:p w:rsidR="009654A4" w:rsidRDefault="003B1F96" w:rsidP="00ED2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 впровадження в Конституційному Суді</w:t>
      </w:r>
      <w:r w:rsid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України механізмів заохочення </w:t>
      </w:r>
      <w:r w:rsidRP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 формування кул</w:t>
      </w:r>
      <w:r w:rsid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ьтури повідомлення про можливі </w:t>
      </w:r>
      <w:r w:rsidRP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факти корупційних  або пов’язаних із корупціє</w:t>
      </w:r>
      <w:r w:rsid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 правопорушень, інших порушень</w:t>
      </w:r>
    </w:p>
    <w:p w:rsidR="003B1F96" w:rsidRPr="009654A4" w:rsidRDefault="003B1F96" w:rsidP="00ED2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Закону України „Про запобігання корупції“</w:t>
      </w:r>
    </w:p>
    <w:p w:rsidR="003B1F96" w:rsidRDefault="003B1F96" w:rsidP="00ED2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654A4" w:rsidRPr="009654A4" w:rsidRDefault="009654A4" w:rsidP="00ED2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І. Загальні положення</w:t>
      </w:r>
    </w:p>
    <w:p w:rsidR="00073C1E" w:rsidRPr="009654A4" w:rsidRDefault="00073C1E" w:rsidP="00ED27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Положення про впровадження в Конституційному Суді України механізмів заохочення  та формування культури повідомлення про можливі  факти корупційних або пов’язаних із корупцією правопорушень, інших порушень Закону України „Про запобігання корупції“ (далі – Положення) розроблено відповідно до приписів частини четвертої статті 53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 xml:space="preserve">1 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Закону України „Про запобігання корупції“ (далі – Закон).</w:t>
      </w:r>
    </w:p>
    <w:p w:rsidR="009654A4" w:rsidRDefault="009654A4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Положення визначає механізми заохочення та формування культури повідомлення про можливі факти корупційних або пов’язаних </w:t>
      </w:r>
      <w:r w:rsidR="00082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 корупцією правопорушень, інших порушень Закону в діяльності Конституційного Суду України (далі – Суд).</w:t>
      </w:r>
    </w:p>
    <w:p w:rsidR="009654A4" w:rsidRDefault="009654A4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У Положенні терміни вжито в такому значенні: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65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–</w:t>
      </w:r>
      <w:r w:rsidRPr="009654A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9654A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uk-UA"/>
        </w:rPr>
        <w:t xml:space="preserve">повідомлення </w:t>
      </w:r>
      <w:r w:rsidRPr="00965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–</w:t>
      </w:r>
      <w:r w:rsidRPr="009654A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965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подання інформації про можливі факти корупційних або пов’язаних із корупцією правопорушень, інших порушень Закону;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65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– </w:t>
      </w:r>
      <w:r w:rsidRPr="009654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викривач</w:t>
      </w:r>
      <w:r w:rsidRPr="00965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– фізична</w:t>
      </w:r>
      <w:r w:rsidR="00082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особа</w:t>
      </w:r>
      <w:r w:rsidRPr="00965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яка за наявності переконання, що інформація є достовірною, повідомила про можливі факти корупційних або пов’язаних </w:t>
      </w:r>
      <w:r w:rsidR="00082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Pr="00965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корупцією правопорушень, інших порушень Закону, </w:t>
      </w:r>
      <w:r w:rsidR="00082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Pr="00965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чинених іншою особою, якщо така інформація стала їй відома у зв’язку з її трудовою, професійною, господарською, громадською, науковою діяльністю, або її участю у визначених законодавством процедурах, які є обов’язковими для початку такої діяльності;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65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механізми заохочення та формування культури повідомлення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це сукупність визначених засобів, за допомогою яких Суд формує політику „абсолютної нетерпимості“ до проявів корупції та внутрішнє середовище, у якому належне повідомлення буде сприйняте з повагою до викривачів та буде заохоч</w:t>
      </w:r>
      <w:r w:rsidR="00082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ене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65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 xml:space="preserve">– </w:t>
      </w:r>
      <w:r w:rsidRPr="009654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внутрішні канали повідомлення</w:t>
      </w:r>
      <w:r w:rsidRPr="00965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– способи захищеного передавання інформації про можливі факти корупційних або пов’язаних із корупцією правопорушень, інших порушень Закону Голові Суду, керівнику Секретаріату Суду або Сектору з питань запобігання і виявлення корупції Секретаріату Суду (далі – Сектор) викривачем </w:t>
      </w:r>
      <w:r w:rsidR="00082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Pr="00965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 числа суддів Суду, а також державних службовців чи працівників Секретаріату Суду (також осіб, які виконують роботу згідно із укладеними договорами) (далі – працівники Суду).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Інші терміни вжито у значенні, наведеному в Законі.</w:t>
      </w:r>
    </w:p>
    <w:p w:rsidR="009654A4" w:rsidRDefault="009654A4" w:rsidP="00ED273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Положення регламентує: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 мету політики заохочення та формування культури повідомлення;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форми заохочення та формування культури повідомлення;</w:t>
      </w:r>
    </w:p>
    <w:p w:rsidR="003B1F96" w:rsidRPr="009654A4" w:rsidRDefault="009654A4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  </w:t>
      </w:r>
      <w:r w:rsidR="003B1F96"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організаційні засади функціонування механізмів заохочення та </w:t>
      </w:r>
      <w:r w:rsidR="002C063B"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3B1F96"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ормува</w:t>
      </w:r>
      <w:r w:rsidR="002C063B"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B1F96"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ня культури повідомлення;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 права та гарантії захисту викривачів;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 оцінювання успішності політики заохочення та формування культури повідомлення.</w:t>
      </w:r>
    </w:p>
    <w:p w:rsidR="002C063B" w:rsidRPr="009654A4" w:rsidRDefault="002C063B" w:rsidP="00ED2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F96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Викривачем не вважають особу, яка повідомила інформацію, що є загальновідомою, або подала в повідомленні інформацію, що не містить фактичних даних. </w:t>
      </w:r>
    </w:p>
    <w:p w:rsidR="009654A4" w:rsidRPr="009654A4" w:rsidRDefault="009654A4" w:rsidP="00ED2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F96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6. Викривач, який вважає, що його повідомлення неналежно розглянуто, а до нього застосовано негативні заходи впливу або існує загроза їх застосування чи про нього як викривача розголошено інформацію, може звернутися до Голови Суду з письмовою заявою для вжиття заходів відповідно до Закону.</w:t>
      </w:r>
    </w:p>
    <w:p w:rsidR="009654A4" w:rsidRPr="009654A4" w:rsidRDefault="009654A4" w:rsidP="00ED2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 політики заохочення та формування культури повідомлення</w:t>
      </w:r>
    </w:p>
    <w:p w:rsidR="009654A4" w:rsidRDefault="009654A4" w:rsidP="00ED273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B1F96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 Метою політики заохочення є формування в діяльності Суду  „абсолютної нетерпимості</w:t>
      </w:r>
      <w:r w:rsidR="005326A8"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“ до проявів корупції, культури повідомлення для сприяння працівникам 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Суду у виявленні та повідомленні про можливі факти корупційних або пов’язаних </w:t>
      </w:r>
      <w:r w:rsidR="00082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 корупцією правопорушень, інших порушень Закону, які вчинили інші особи</w:t>
      </w:r>
      <w:r w:rsid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654A4" w:rsidRPr="009654A4" w:rsidRDefault="009654A4" w:rsidP="00ED273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Форми заохочення та формування культури повідомлення</w:t>
      </w:r>
    </w:p>
    <w:p w:rsidR="009654A4" w:rsidRDefault="009654A4" w:rsidP="00ED273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 Формами заохочення є: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формування сприятливого для викривача середовища;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організація та проведення різнопланового навчання працівників Суду;</w:t>
      </w:r>
    </w:p>
    <w:p w:rsidR="003B1F96" w:rsidRPr="009654A4" w:rsidRDefault="003B1F96" w:rsidP="00ED2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створення методичних та роз’яснювальних матеріалів (пам’яток тощо).</w:t>
      </w:r>
    </w:p>
    <w:p w:rsidR="00A17000" w:rsidRDefault="00A17000" w:rsidP="00ED2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654A4" w:rsidRPr="009654A4" w:rsidRDefault="009654A4" w:rsidP="00ED2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Організаційні засади функціонування механізмів заохочення та формування культури повідомлення</w:t>
      </w:r>
    </w:p>
    <w:p w:rsidR="00831B00" w:rsidRPr="009654A4" w:rsidRDefault="00831B00" w:rsidP="00ED2730">
      <w:pPr>
        <w:spacing w:after="0" w:line="235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9. Особ</w:t>
      </w:r>
      <w:r w:rsidR="00082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якій стала відома інформація про можливі факти корупційних або пов’язаних </w:t>
      </w:r>
      <w:r w:rsidR="00082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корупцією правопорушень, інших порушень Закону, зобов’язана негайно повідомити про це через внутрішні канали повідомлення, </w:t>
      </w:r>
      <w:r w:rsidR="00A17000"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інформацію про 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які розміщено на офіційному </w:t>
      </w:r>
      <w:proofErr w:type="spellStart"/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вебсайті</w:t>
      </w:r>
      <w:proofErr w:type="spellEnd"/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Суду.</w:t>
      </w:r>
    </w:p>
    <w:p w:rsidR="009654A4" w:rsidRDefault="009654A4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10. Функціонування механізмів заохочення та формування культури повідомлення забезпечує Сектор</w:t>
      </w:r>
      <w:r w:rsidR="00082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спосіб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прийняття повідомлень, їх реєстраці</w:t>
      </w:r>
      <w:r w:rsidR="00082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ї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082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несення до Єдиного порталу повідомлень викривачів, </w:t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опрацювання та розгляду в установленому порядку;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 постійн</w:t>
      </w:r>
      <w:r w:rsidR="00082331"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взаємоді</w:t>
      </w:r>
      <w:r w:rsidR="00082331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33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з викривачем для інформування його про стан і результати розгляду повідомлення;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надання методичної допомоги, консультацій, </w:t>
      </w:r>
      <w:r w:rsidR="00A17000"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організації </w:t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внутрішнього навчання </w:t>
      </w:r>
      <w:r w:rsidR="00A17000"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</w:t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подання повідомлень та </w:t>
      </w:r>
      <w:r w:rsidR="00A17000"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забезпечення гарантій </w:t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 прав викривачів, у тому числі із залученням представників іноземних інституцій, які спеціаліз</w:t>
      </w:r>
      <w:r w:rsidR="00A17000"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уються</w:t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захисті прав викривачів, міжнародних/зарубіжних експертів;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розміщення на офіційному </w:t>
      </w:r>
      <w:proofErr w:type="spellStart"/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вебсайті</w:t>
      </w:r>
      <w:proofErr w:type="spellEnd"/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 інформації про внутрішні канали повідомлень.</w:t>
      </w:r>
    </w:p>
    <w:p w:rsidR="00A17000" w:rsidRPr="009654A4" w:rsidRDefault="00A17000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Сектор </w:t>
      </w:r>
      <w:r w:rsidR="0008233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живає заходів щодо захисту прав працівників Суду, які є викривачами. Для цього Сектор розробляє: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 пам’ятку щодо дотримання загальних правил етичної поведінки державних службовців і працівників Суду;</w:t>
      </w:r>
    </w:p>
    <w:p w:rsidR="003B1F96" w:rsidRPr="009654A4" w:rsidRDefault="003B1F96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 пам’ятку</w:t>
      </w:r>
      <w:r w:rsidRPr="00965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4A4">
        <w:rPr>
          <w:rFonts w:ascii="Times New Roman" w:hAnsi="Times New Roman" w:cs="Times New Roman"/>
          <w:sz w:val="28"/>
          <w:szCs w:val="28"/>
        </w:rPr>
        <w:t>викривачеві (особі, яка повідомляє про корупцію) щодо його юридичного статусу, прав та гарантій захисту;</w:t>
      </w:r>
    </w:p>
    <w:p w:rsidR="003B1F96" w:rsidRPr="009654A4" w:rsidRDefault="003B1F96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sz w:val="28"/>
          <w:szCs w:val="28"/>
        </w:rPr>
        <w:t xml:space="preserve"> пам’ятку щодо внутрішніх процедур 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організації роботи з питань розгляду повідомлень;</w:t>
      </w:r>
    </w:p>
    <w:p w:rsidR="003B1F96" w:rsidRPr="009654A4" w:rsidRDefault="003B1F96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інші методичні та роз’яснювальні матеріали. </w:t>
      </w:r>
    </w:p>
    <w:p w:rsidR="00A17000" w:rsidRPr="009654A4" w:rsidRDefault="00A17000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12. Політику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заохочення та формування культури повідомлення запроваджують за такими напрямами: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послідовна та систематична робота щодо запобігання і виявлення корупції </w:t>
      </w:r>
      <w:r w:rsidR="00082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Суді;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убезпечення від усіх видів корупційних практик </w:t>
      </w:r>
      <w:r w:rsidR="00082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Суді;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об’єктивне та неупереджене реагування на повідомлення викривачів;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невідворотність відповідальності у разі виявлення порушень вимог Закону;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забезпечення конфіденційності у процесі взаємодії з викривачами;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ухвалення найбільш сприятливого для викривача рішення в повсякденній діяльності в межах дискреційних повноважень;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негайне реагування на всі негативні заходи впливу або загрозу їх застосування до викривачів;</w:t>
      </w:r>
    </w:p>
    <w:p w:rsidR="003B1F96" w:rsidRPr="009654A4" w:rsidRDefault="003B1F96" w:rsidP="00ED2730">
      <w:pPr>
        <w:spacing w:after="0" w:line="235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доведення до працівників Суду інформації про виявлені факти корупції за повідомленнями, наголошення на важливості їх участі у виявленні таких 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фактів, розбудова конструктивного діалогу з працівниками Суду щодо способів запобігання корупції.</w:t>
      </w:r>
    </w:p>
    <w:p w:rsidR="00ED2730" w:rsidRDefault="00ED2730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B1F96" w:rsidRPr="009654A4" w:rsidRDefault="003B1F96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13. Забезпечення систематичного навчання працівників Сектору з питань визначення </w:t>
      </w:r>
      <w:r w:rsidRPr="009654A4">
        <w:rPr>
          <w:rFonts w:ascii="Times New Roman" w:hAnsi="Times New Roman" w:cs="Times New Roman"/>
          <w:sz w:val="28"/>
          <w:szCs w:val="28"/>
        </w:rPr>
        <w:t>юридичного статусу, прав та гарантій захисту викривачів.</w:t>
      </w:r>
    </w:p>
    <w:p w:rsidR="00A17000" w:rsidRPr="009654A4" w:rsidRDefault="00A17000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000" w:rsidRPr="009654A4" w:rsidRDefault="003B1F96" w:rsidP="00ED2730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Права та гарантії захисту викривачів</w:t>
      </w:r>
    </w:p>
    <w:p w:rsidR="009654A4" w:rsidRDefault="009654A4" w:rsidP="00ED273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F96" w:rsidRPr="009654A4" w:rsidRDefault="003B1F96" w:rsidP="00ED273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t>14. Права та гарантії захисту викривачів виникають із моменту повідомлення</w:t>
      </w:r>
      <w:r w:rsidR="00082331">
        <w:rPr>
          <w:rFonts w:ascii="Times New Roman" w:hAnsi="Times New Roman" w:cs="Times New Roman"/>
          <w:sz w:val="28"/>
          <w:szCs w:val="28"/>
        </w:rPr>
        <w:t xml:space="preserve"> ними</w:t>
      </w:r>
      <w:r w:rsidRPr="009654A4">
        <w:rPr>
          <w:rFonts w:ascii="Times New Roman" w:hAnsi="Times New Roman" w:cs="Times New Roman"/>
          <w:sz w:val="28"/>
          <w:szCs w:val="28"/>
        </w:rPr>
        <w:t xml:space="preserve"> інформації про можливі факти корупційних або пов’язаних </w:t>
      </w:r>
      <w:r w:rsidR="00147328">
        <w:rPr>
          <w:rFonts w:ascii="Times New Roman" w:hAnsi="Times New Roman" w:cs="Times New Roman"/>
          <w:sz w:val="28"/>
          <w:szCs w:val="28"/>
        </w:rPr>
        <w:t>і</w:t>
      </w:r>
      <w:r w:rsidRPr="009654A4">
        <w:rPr>
          <w:rFonts w:ascii="Times New Roman" w:hAnsi="Times New Roman" w:cs="Times New Roman"/>
          <w:sz w:val="28"/>
          <w:szCs w:val="28"/>
        </w:rPr>
        <w:t>з корупцією правопорушень, інших порушень Закону.</w:t>
      </w:r>
    </w:p>
    <w:p w:rsidR="009654A4" w:rsidRDefault="009654A4" w:rsidP="00ED2730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96" w:rsidRPr="009654A4" w:rsidRDefault="003B1F96" w:rsidP="00ED2730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</w:rPr>
        <w:t xml:space="preserve">15. </w:t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Викривачі, їх близькі особи перебувають під захистом держави.</w:t>
      </w:r>
    </w:p>
    <w:p w:rsidR="00A17000" w:rsidRPr="009654A4" w:rsidRDefault="00A17000" w:rsidP="00ED2730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7000" w:rsidRPr="009654A4" w:rsidRDefault="003B1F96" w:rsidP="00ED2730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sz w:val="28"/>
          <w:szCs w:val="28"/>
        </w:rPr>
        <w:t xml:space="preserve">16. Права та гарантії захисту викривачів </w:t>
      </w:r>
      <w:r w:rsidR="00147328">
        <w:rPr>
          <w:rFonts w:ascii="Times New Roman" w:hAnsi="Times New Roman" w:cs="Times New Roman"/>
          <w:sz w:val="28"/>
          <w:szCs w:val="28"/>
        </w:rPr>
        <w:t>у</w:t>
      </w:r>
      <w:r w:rsidRPr="009654A4">
        <w:rPr>
          <w:rFonts w:ascii="Times New Roman" w:hAnsi="Times New Roman" w:cs="Times New Roman"/>
          <w:sz w:val="28"/>
          <w:szCs w:val="28"/>
        </w:rPr>
        <w:t xml:space="preserve">становлено у статтях </w:t>
      </w:r>
      <w:r w:rsidRPr="009654A4">
        <w:rPr>
          <w:rFonts w:ascii="Times New Roman" w:hAnsi="Times New Roman" w:cs="Times New Roman"/>
          <w:kern w:val="36"/>
          <w:sz w:val="28"/>
          <w:szCs w:val="28"/>
          <w:shd w:val="clear" w:color="auto" w:fill="FFFFFF"/>
          <w:lang w:eastAsia="uk-UA"/>
        </w:rPr>
        <w:t>53,</w:t>
      </w:r>
      <w:r w:rsidR="009654A4">
        <w:rPr>
          <w:rFonts w:ascii="Times New Roman" w:hAnsi="Times New Roman" w:cs="Times New Roman"/>
          <w:kern w:val="36"/>
          <w:sz w:val="28"/>
          <w:szCs w:val="28"/>
          <w:shd w:val="clear" w:color="auto" w:fill="FFFFFF"/>
          <w:lang w:eastAsia="uk-UA"/>
        </w:rPr>
        <w:t xml:space="preserve"> 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53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 xml:space="preserve">3 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Закону, а також у Законі України</w:t>
      </w:r>
      <w:r w:rsidRP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„</w:t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забезпечення безпеки осіб, які беруть участь у кримінальному судочинстві“. Для</w:t>
      </w:r>
      <w:r w:rsid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захисту прав та представництва</w:t>
      </w:r>
      <w:r w:rsidR="009654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своїх інтересів викривач може корис</w:t>
      </w:r>
      <w:r w:rsid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туватися всіма видами правничої</w:t>
      </w:r>
      <w:r w:rsidR="009654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допомоги, </w:t>
      </w:r>
      <w:r w:rsidR="00147328">
        <w:rPr>
          <w:rFonts w:ascii="Times New Roman" w:hAnsi="Times New Roman" w:cs="Times New Roman"/>
          <w:sz w:val="28"/>
          <w:szCs w:val="28"/>
          <w:shd w:val="clear" w:color="auto" w:fill="FFFFFF"/>
        </w:rPr>
        <w:t>що їх визначено у</w:t>
      </w:r>
      <w:r w:rsid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9654A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</w:t>
        </w:r>
        <w:r w:rsidR="0014732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і</w:t>
        </w:r>
        <w:r w:rsidRPr="009654A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України</w:t>
        </w:r>
      </w:hyperlink>
      <w:r w:rsid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„</w:t>
      </w:r>
      <w:r w:rsid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безоплатну правничу</w:t>
      </w:r>
      <w:r w:rsidR="009654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допомогу“.</w:t>
      </w:r>
    </w:p>
    <w:p w:rsidR="00A17000" w:rsidRPr="009654A4" w:rsidRDefault="00A17000" w:rsidP="00ED2730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7000" w:rsidRPr="009654A4" w:rsidRDefault="003B1F96" w:rsidP="00ED2730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17.</w:t>
      </w:r>
      <w:r w:rsidRPr="009654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r w:rsidRPr="009654A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Викривач також має гарантії трудових прав згідно зі статтею 53</w:t>
      </w:r>
      <w:hyperlink r:id="rId7" w:anchor="n3901" w:tgtFrame="_blank" w:history="1">
        <w:r w:rsidRPr="009654A4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  <w:vertAlign w:val="superscript"/>
          </w:rPr>
          <w:t>4</w:t>
        </w:r>
      </w:hyperlink>
      <w:r w:rsidR="009654A4">
        <w:rPr>
          <w:rFonts w:ascii="Times New Roman" w:hAnsi="Times New Roman" w:cs="Times New Roman"/>
          <w:sz w:val="28"/>
          <w:szCs w:val="28"/>
        </w:rPr>
        <w:br/>
      </w:r>
      <w:r w:rsidRPr="009654A4">
        <w:rPr>
          <w:rFonts w:ascii="Times New Roman" w:hAnsi="Times New Roman" w:cs="Times New Roman"/>
          <w:sz w:val="28"/>
          <w:szCs w:val="28"/>
        </w:rPr>
        <w:t>Закону, за якою йому та  його близьким особам не може бути відмовлено у прийнятті на роботу, їх не може бути звільнено чи примушено до звільнення, притягнуто до дисциплінарної від</w:t>
      </w:r>
      <w:r w:rsidR="009654A4">
        <w:rPr>
          <w:rFonts w:ascii="Times New Roman" w:hAnsi="Times New Roman" w:cs="Times New Roman"/>
          <w:sz w:val="28"/>
          <w:szCs w:val="28"/>
        </w:rPr>
        <w:t>повідальності чи піддано з боку</w:t>
      </w:r>
      <w:r w:rsidR="009654A4">
        <w:rPr>
          <w:rFonts w:ascii="Times New Roman" w:hAnsi="Times New Roman" w:cs="Times New Roman"/>
          <w:sz w:val="28"/>
          <w:szCs w:val="28"/>
        </w:rPr>
        <w:br/>
      </w:r>
      <w:r w:rsidRPr="009654A4">
        <w:rPr>
          <w:rFonts w:ascii="Times New Roman" w:hAnsi="Times New Roman" w:cs="Times New Roman"/>
          <w:sz w:val="28"/>
          <w:szCs w:val="28"/>
        </w:rPr>
        <w:t>керівника іншим негативним заходам впливу (п</w:t>
      </w:r>
      <w:r w:rsidR="009654A4">
        <w:rPr>
          <w:rFonts w:ascii="Times New Roman" w:hAnsi="Times New Roman" w:cs="Times New Roman"/>
          <w:sz w:val="28"/>
          <w:szCs w:val="28"/>
        </w:rPr>
        <w:t>ереведення, атестація, зміна</w:t>
      </w:r>
      <w:r w:rsidR="009654A4">
        <w:rPr>
          <w:rFonts w:ascii="Times New Roman" w:hAnsi="Times New Roman" w:cs="Times New Roman"/>
          <w:sz w:val="28"/>
          <w:szCs w:val="28"/>
        </w:rPr>
        <w:br/>
      </w:r>
      <w:r w:rsidRPr="009654A4">
        <w:rPr>
          <w:rFonts w:ascii="Times New Roman" w:hAnsi="Times New Roman" w:cs="Times New Roman"/>
          <w:sz w:val="28"/>
          <w:szCs w:val="28"/>
        </w:rPr>
        <w:t>умов праці, відмова у призначенні на вищу посаду, зменшення заробітної плати тощо) або загрозі таких заходів впливу у зв’язку з повідомленням про можливі факти корупційних або пов’язаних із корупцією правопорушень, інших порушень Закону. У Суді додатково вживають заходів для запобігання дискримінації викривача, недопу</w:t>
      </w:r>
      <w:r w:rsidR="009654A4">
        <w:rPr>
          <w:rFonts w:ascii="Times New Roman" w:hAnsi="Times New Roman" w:cs="Times New Roman"/>
          <w:sz w:val="28"/>
          <w:szCs w:val="28"/>
        </w:rPr>
        <w:t>щення інших форм психологічного</w:t>
      </w:r>
      <w:r w:rsidR="009654A4">
        <w:rPr>
          <w:rFonts w:ascii="Times New Roman" w:hAnsi="Times New Roman" w:cs="Times New Roman"/>
          <w:sz w:val="28"/>
          <w:szCs w:val="28"/>
        </w:rPr>
        <w:br/>
      </w:r>
      <w:r w:rsidRPr="009654A4">
        <w:rPr>
          <w:rFonts w:ascii="Times New Roman" w:hAnsi="Times New Roman" w:cs="Times New Roman"/>
          <w:sz w:val="28"/>
          <w:szCs w:val="28"/>
        </w:rPr>
        <w:t>впливу.</w:t>
      </w:r>
    </w:p>
    <w:p w:rsidR="003B1F96" w:rsidRPr="009654A4" w:rsidRDefault="003B1F96" w:rsidP="00ED2730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96" w:rsidRPr="009654A4" w:rsidRDefault="003B1F96" w:rsidP="00ED2730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Pr="009654A4">
        <w:rPr>
          <w:rFonts w:ascii="Times New Roman" w:hAnsi="Times New Roman" w:cs="Times New Roman"/>
          <w:sz w:val="28"/>
          <w:szCs w:val="28"/>
        </w:rPr>
        <w:t>. Повідомлення є конфіденційним, розкриття (розголошення) інформації про викривача заборонено, крім випадків, визначених у Законі.</w:t>
      </w:r>
    </w:p>
    <w:p w:rsidR="00A17000" w:rsidRPr="009654A4" w:rsidRDefault="00A17000" w:rsidP="00ED2730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96" w:rsidRPr="009654A4" w:rsidRDefault="003B1F96" w:rsidP="00ED2730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t>19. Кожен факт розголошення конфіденційної інформації про викривачів перевіряють, винних притягають до відповідальності.</w:t>
      </w:r>
    </w:p>
    <w:p w:rsidR="00A17000" w:rsidRPr="009654A4" w:rsidRDefault="00A17000" w:rsidP="00ED2730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96" w:rsidRPr="009654A4" w:rsidRDefault="003B1F96" w:rsidP="00ED2730">
      <w:pPr>
        <w:shd w:val="clear" w:color="auto" w:fill="FFFFFF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4">
        <w:rPr>
          <w:rFonts w:ascii="Times New Roman" w:hAnsi="Times New Roman" w:cs="Times New Roman"/>
          <w:b/>
          <w:sz w:val="28"/>
          <w:szCs w:val="28"/>
        </w:rPr>
        <w:t>Оцінювання політики успішності заохочення та формування культури повідомлення</w:t>
      </w:r>
    </w:p>
    <w:p w:rsidR="00A17000" w:rsidRPr="009654A4" w:rsidRDefault="00A17000" w:rsidP="00ED2730">
      <w:pPr>
        <w:shd w:val="clear" w:color="auto" w:fill="FFFFFF"/>
        <w:spacing w:after="0" w:line="235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96" w:rsidRPr="009654A4" w:rsidRDefault="003B1F96" w:rsidP="00ED27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t>20. У Суді оцінюють упровадження системних заходів, спрямованих на формування політики заохочення та культури повідомлення. Оцінювання проводить Сектор за результатами календарного року. Звіт подають Голові Суду та керівнику Секретаріату Суду в січні  року, наступного за звітним.</w:t>
      </w:r>
    </w:p>
    <w:p w:rsidR="003B1F96" w:rsidRPr="009654A4" w:rsidRDefault="003B1F96" w:rsidP="00ED27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lastRenderedPageBreak/>
        <w:t>21. Оцінюючи успішність політики заохочення та культуру повідомлення, застосовують такі індикатори:</w:t>
      </w:r>
    </w:p>
    <w:p w:rsidR="003B1F96" w:rsidRPr="009654A4" w:rsidRDefault="003B1F96" w:rsidP="00ED27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sz w:val="28"/>
          <w:szCs w:val="28"/>
        </w:rPr>
        <w:t xml:space="preserve"> показники звіту про результати роботи з повідомленнями викривачів за звітний рік;</w:t>
      </w:r>
    </w:p>
    <w:p w:rsidR="003B1F96" w:rsidRPr="009654A4" w:rsidRDefault="003B1F96" w:rsidP="00ED27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sz w:val="28"/>
          <w:szCs w:val="28"/>
        </w:rPr>
        <w:t xml:space="preserve"> кількість просвітницьких заходів, спрямованих на формування політики заохочення та культури повідомлення;</w:t>
      </w:r>
    </w:p>
    <w:p w:rsidR="003B1F96" w:rsidRPr="009654A4" w:rsidRDefault="003B1F96" w:rsidP="00ED27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sz w:val="28"/>
          <w:szCs w:val="28"/>
        </w:rPr>
        <w:t xml:space="preserve"> кількість працівників, що пройшли</w:t>
      </w:r>
      <w:r w:rsidR="009654A4">
        <w:rPr>
          <w:rFonts w:ascii="Times New Roman" w:hAnsi="Times New Roman" w:cs="Times New Roman"/>
          <w:sz w:val="28"/>
          <w:szCs w:val="28"/>
        </w:rPr>
        <w:t xml:space="preserve"> </w:t>
      </w:r>
      <w:r w:rsidRPr="009654A4">
        <w:rPr>
          <w:rFonts w:ascii="Times New Roman" w:hAnsi="Times New Roman" w:cs="Times New Roman"/>
          <w:sz w:val="28"/>
          <w:szCs w:val="28"/>
        </w:rPr>
        <w:t>навчання чи/або підвищення кваліфікації;</w:t>
      </w:r>
    </w:p>
    <w:p w:rsidR="003B1F96" w:rsidRPr="009654A4" w:rsidRDefault="003B1F96" w:rsidP="00ED27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54A4">
        <w:rPr>
          <w:rFonts w:ascii="Times New Roman" w:hAnsi="Times New Roman" w:cs="Times New Roman"/>
          <w:sz w:val="28"/>
          <w:szCs w:val="28"/>
        </w:rPr>
        <w:t xml:space="preserve"> кількість методичних та просвітницьких матеріалів;</w:t>
      </w:r>
    </w:p>
    <w:p w:rsidR="003B1F96" w:rsidRPr="009654A4" w:rsidRDefault="003B1F96" w:rsidP="00ED27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654A4">
        <w:rPr>
          <w:rFonts w:ascii="Times New Roman" w:hAnsi="Times New Roman" w:cs="Times New Roman"/>
          <w:sz w:val="28"/>
          <w:szCs w:val="28"/>
        </w:rPr>
        <w:t>кількість фактів щодо порушення прав державних службовців і працівників Суду через здійснене повідомлення.</w:t>
      </w:r>
    </w:p>
    <w:p w:rsidR="003B1F96" w:rsidRPr="009654A4" w:rsidRDefault="003B1F96" w:rsidP="00ED27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1F96" w:rsidRPr="009654A4" w:rsidRDefault="003B1F96" w:rsidP="00ED27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1F96" w:rsidRPr="009654A4" w:rsidRDefault="003B1F96" w:rsidP="00ED2730">
      <w:pPr>
        <w:tabs>
          <w:tab w:val="right" w:pos="9638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Керівник Секретаріату</w:t>
      </w:r>
      <w:r w:rsidR="00965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96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Віктор БЕСЧАСТНИЙ</w:t>
      </w:r>
    </w:p>
    <w:sectPr w:rsidR="003B1F96" w:rsidRPr="009654A4" w:rsidSect="00ED2730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30" w:rsidRDefault="00ED2730" w:rsidP="00ED2730">
      <w:pPr>
        <w:spacing w:after="0" w:line="240" w:lineRule="auto"/>
      </w:pPr>
      <w:r>
        <w:separator/>
      </w:r>
    </w:p>
  </w:endnote>
  <w:endnote w:type="continuationSeparator" w:id="0">
    <w:p w:rsidR="00ED2730" w:rsidRDefault="00ED2730" w:rsidP="00ED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30" w:rsidRPr="00ED2730" w:rsidRDefault="00ED2730">
    <w:pPr>
      <w:pStyle w:val="a7"/>
      <w:rPr>
        <w:rFonts w:ascii="Times New Roman" w:hAnsi="Times New Roman" w:cs="Times New Roman"/>
        <w:sz w:val="10"/>
        <w:szCs w:val="10"/>
      </w:rPr>
    </w:pPr>
    <w:r w:rsidRPr="00ED2730">
      <w:rPr>
        <w:rFonts w:ascii="Times New Roman" w:hAnsi="Times New Roman" w:cs="Times New Roman"/>
        <w:sz w:val="10"/>
        <w:szCs w:val="10"/>
      </w:rPr>
      <w:fldChar w:fldCharType="begin"/>
    </w:r>
    <w:r w:rsidRPr="00ED273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D2730">
      <w:rPr>
        <w:rFonts w:ascii="Times New Roman" w:hAnsi="Times New Roman" w:cs="Times New Roman"/>
        <w:sz w:val="10"/>
        <w:szCs w:val="10"/>
      </w:rPr>
      <w:fldChar w:fldCharType="separate"/>
    </w:r>
    <w:r w:rsidR="00147328">
      <w:rPr>
        <w:rFonts w:ascii="Times New Roman" w:hAnsi="Times New Roman" w:cs="Times New Roman"/>
        <w:noProof/>
        <w:sz w:val="10"/>
        <w:szCs w:val="10"/>
      </w:rPr>
      <w:t>G:\2023\Golova\Dodatki do Rozpor\48.docx</w:t>
    </w:r>
    <w:r w:rsidRPr="00ED273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30" w:rsidRPr="00ED2730" w:rsidRDefault="00ED2730">
    <w:pPr>
      <w:pStyle w:val="a7"/>
      <w:rPr>
        <w:rFonts w:ascii="Times New Roman" w:hAnsi="Times New Roman" w:cs="Times New Roman"/>
        <w:sz w:val="10"/>
        <w:szCs w:val="10"/>
      </w:rPr>
    </w:pPr>
    <w:r w:rsidRPr="00ED2730">
      <w:rPr>
        <w:rFonts w:ascii="Times New Roman" w:hAnsi="Times New Roman" w:cs="Times New Roman"/>
        <w:sz w:val="10"/>
        <w:szCs w:val="10"/>
      </w:rPr>
      <w:fldChar w:fldCharType="begin"/>
    </w:r>
    <w:r w:rsidRPr="00ED273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D2730">
      <w:rPr>
        <w:rFonts w:ascii="Times New Roman" w:hAnsi="Times New Roman" w:cs="Times New Roman"/>
        <w:sz w:val="10"/>
        <w:szCs w:val="10"/>
      </w:rPr>
      <w:fldChar w:fldCharType="separate"/>
    </w:r>
    <w:r w:rsidR="00147328">
      <w:rPr>
        <w:rFonts w:ascii="Times New Roman" w:hAnsi="Times New Roman" w:cs="Times New Roman"/>
        <w:noProof/>
        <w:sz w:val="10"/>
        <w:szCs w:val="10"/>
      </w:rPr>
      <w:t>G:\2023\Golova\Dodatki do Rozpor\48.docx</w:t>
    </w:r>
    <w:r w:rsidRPr="00ED273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30" w:rsidRDefault="00ED2730" w:rsidP="00ED2730">
      <w:pPr>
        <w:spacing w:after="0" w:line="240" w:lineRule="auto"/>
      </w:pPr>
      <w:r>
        <w:separator/>
      </w:r>
    </w:p>
  </w:footnote>
  <w:footnote w:type="continuationSeparator" w:id="0">
    <w:p w:rsidR="00ED2730" w:rsidRDefault="00ED2730" w:rsidP="00ED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673343671"/>
      <w:docPartObj>
        <w:docPartGallery w:val="Page Numbers (Top of Page)"/>
        <w:docPartUnique/>
      </w:docPartObj>
    </w:sdtPr>
    <w:sdtEndPr/>
    <w:sdtContent>
      <w:p w:rsidR="00ED2730" w:rsidRPr="00ED2730" w:rsidRDefault="00ED273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27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27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27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1B4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D27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14"/>
    <w:rsid w:val="00073C1E"/>
    <w:rsid w:val="00082331"/>
    <w:rsid w:val="000F6949"/>
    <w:rsid w:val="00147328"/>
    <w:rsid w:val="002C063B"/>
    <w:rsid w:val="002E0E57"/>
    <w:rsid w:val="003832DD"/>
    <w:rsid w:val="003B1F96"/>
    <w:rsid w:val="003C4E37"/>
    <w:rsid w:val="00454A57"/>
    <w:rsid w:val="0047050D"/>
    <w:rsid w:val="005326A8"/>
    <w:rsid w:val="00621B4D"/>
    <w:rsid w:val="00635C96"/>
    <w:rsid w:val="00831B00"/>
    <w:rsid w:val="009654A4"/>
    <w:rsid w:val="00A17000"/>
    <w:rsid w:val="00B13E88"/>
    <w:rsid w:val="00B56C14"/>
    <w:rsid w:val="00B7476E"/>
    <w:rsid w:val="00BF0063"/>
    <w:rsid w:val="00DC2F99"/>
    <w:rsid w:val="00DC6B5C"/>
    <w:rsid w:val="00E362A4"/>
    <w:rsid w:val="00ED2730"/>
    <w:rsid w:val="00F15F47"/>
    <w:rsid w:val="00F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0AAF"/>
  <w15:chartTrackingRefBased/>
  <w15:docId w15:val="{18D7233F-C4B3-4255-95CA-33A15B2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C4E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7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D2730"/>
  </w:style>
  <w:style w:type="paragraph" w:styleId="a7">
    <w:name w:val="footer"/>
    <w:basedOn w:val="a"/>
    <w:link w:val="a8"/>
    <w:uiPriority w:val="99"/>
    <w:unhideWhenUsed/>
    <w:rsid w:val="00ED27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D2730"/>
  </w:style>
  <w:style w:type="character" w:styleId="a9">
    <w:name w:val="Placeholder Text"/>
    <w:basedOn w:val="a0"/>
    <w:uiPriority w:val="99"/>
    <w:semiHidden/>
    <w:rsid w:val="00ED2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460-1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5881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Какауліна</dc:creator>
  <cp:keywords/>
  <dc:description/>
  <cp:lastModifiedBy>Людмила М. Какауліна</cp:lastModifiedBy>
  <cp:revision>3</cp:revision>
  <cp:lastPrinted>2023-10-31T13:49:00Z</cp:lastPrinted>
  <dcterms:created xsi:type="dcterms:W3CDTF">2023-11-21T08:50:00Z</dcterms:created>
  <dcterms:modified xsi:type="dcterms:W3CDTF">2023-11-21T13:53:00Z</dcterms:modified>
</cp:coreProperties>
</file>