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1046" w:rsidRPr="00930D48" w:rsidRDefault="005B1046" w:rsidP="005B1046">
      <w:pPr>
        <w:spacing w:after="0" w:line="240" w:lineRule="auto"/>
        <w:jc w:val="both"/>
        <w:rPr>
          <w:rFonts w:ascii="Times New Roman" w:hAnsi="Times New Roman" w:cs="Times New Roman"/>
          <w:b/>
          <w:noProof/>
          <w:sz w:val="28"/>
          <w:szCs w:val="28"/>
          <w:lang w:val="en-GB"/>
        </w:rPr>
      </w:pPr>
      <w:proofErr w:type="gramStart"/>
      <w:r w:rsidRPr="00930D48">
        <w:rPr>
          <w:rFonts w:ascii="Times New Roman" w:hAnsi="Times New Roman" w:cs="Times New Roman"/>
          <w:b/>
          <w:sz w:val="28"/>
          <w:szCs w:val="28"/>
          <w:lang w:val="en-GB"/>
        </w:rPr>
        <w:t>Summary to the Decision of the Grand Chamber of the Con</w:t>
      </w:r>
      <w:r w:rsidR="00961974" w:rsidRPr="00930D48">
        <w:rPr>
          <w:rFonts w:ascii="Times New Roman" w:hAnsi="Times New Roman" w:cs="Times New Roman"/>
          <w:b/>
          <w:sz w:val="28"/>
          <w:szCs w:val="28"/>
          <w:lang w:val="en-GB"/>
        </w:rPr>
        <w:t xml:space="preserve">stitutional Court of Ukraine No.1/r-2026 dated </w:t>
      </w:r>
      <w:r w:rsidRPr="00930D48">
        <w:rPr>
          <w:rFonts w:ascii="Times New Roman" w:hAnsi="Times New Roman" w:cs="Times New Roman"/>
          <w:b/>
          <w:sz w:val="28"/>
          <w:szCs w:val="28"/>
          <w:lang w:val="en-GB"/>
        </w:rPr>
        <w:t xml:space="preserve">January 20, 2026, in the case upon the constitutional petition of the </w:t>
      </w:r>
      <w:proofErr w:type="spellStart"/>
      <w:r w:rsidR="005E04F7" w:rsidRPr="00930D48">
        <w:rPr>
          <w:rFonts w:ascii="Times New Roman" w:hAnsi="Times New Roman" w:cs="Times New Roman"/>
          <w:b/>
          <w:sz w:val="28"/>
          <w:szCs w:val="28"/>
          <w:lang w:val="en-GB"/>
        </w:rPr>
        <w:t>Verkhovna</w:t>
      </w:r>
      <w:proofErr w:type="spellEnd"/>
      <w:r w:rsidR="005E04F7" w:rsidRPr="00930D48">
        <w:rPr>
          <w:rFonts w:ascii="Times New Roman" w:hAnsi="Times New Roman" w:cs="Times New Roman"/>
          <w:b/>
          <w:sz w:val="28"/>
          <w:szCs w:val="28"/>
          <w:lang w:val="en-GB"/>
        </w:rPr>
        <w:t xml:space="preserve"> Rada </w:t>
      </w:r>
      <w:r w:rsidR="0001534E">
        <w:rPr>
          <w:rFonts w:ascii="Times New Roman" w:hAnsi="Times New Roman" w:cs="Times New Roman"/>
          <w:b/>
          <w:sz w:val="28"/>
          <w:szCs w:val="28"/>
          <w:lang w:val="en-GB"/>
        </w:rPr>
        <w:t xml:space="preserve">of Ukraine </w:t>
      </w:r>
      <w:r w:rsidR="005E04F7" w:rsidRPr="00930D48">
        <w:rPr>
          <w:rFonts w:ascii="Times New Roman" w:hAnsi="Times New Roman" w:cs="Times New Roman"/>
          <w:b/>
          <w:sz w:val="28"/>
          <w:szCs w:val="28"/>
          <w:lang w:val="en-GB"/>
        </w:rPr>
        <w:t>Commissioner for Human Rights</w:t>
      </w:r>
      <w:r w:rsidRPr="00930D48">
        <w:rPr>
          <w:rFonts w:ascii="Times New Roman" w:hAnsi="Times New Roman" w:cs="Times New Roman"/>
          <w:b/>
          <w:sz w:val="28"/>
          <w:szCs w:val="28"/>
          <w:lang w:val="en-GB"/>
        </w:rPr>
        <w:t xml:space="preserve"> regarding the constitutionality of Article 90.2.1 of Section XI “Final and Transitional Provisions” of the Law of Ukraine “On Public Service” </w:t>
      </w:r>
      <w:r w:rsidR="005430AB" w:rsidRPr="00930D48">
        <w:rPr>
          <w:rFonts w:ascii="Times New Roman" w:hAnsi="Times New Roman" w:cs="Times New Roman"/>
          <w:b/>
          <w:sz w:val="28"/>
          <w:szCs w:val="28"/>
          <w:lang w:val="en-GB"/>
        </w:rPr>
        <w:t xml:space="preserve">No. 889-VIIІ </w:t>
      </w:r>
      <w:r w:rsidR="005430AB">
        <w:rPr>
          <w:rFonts w:ascii="Times New Roman" w:hAnsi="Times New Roman" w:cs="Times New Roman"/>
          <w:b/>
          <w:sz w:val="28"/>
          <w:szCs w:val="28"/>
          <w:lang w:val="en-US"/>
        </w:rPr>
        <w:t>dated</w:t>
      </w:r>
      <w:r w:rsidRPr="00930D48">
        <w:rPr>
          <w:rFonts w:ascii="Times New Roman" w:hAnsi="Times New Roman" w:cs="Times New Roman"/>
          <w:b/>
          <w:sz w:val="28"/>
          <w:szCs w:val="28"/>
          <w:lang w:val="en-GB"/>
        </w:rPr>
        <w:t xml:space="preserve"> December 10, 2015, Article 21.7 of the Law “On Service in Local Self-</w:t>
      </w:r>
      <w:r w:rsidRPr="00930D48">
        <w:rPr>
          <w:rFonts w:ascii="Times New Roman" w:hAnsi="Times New Roman" w:cs="Times New Roman"/>
          <w:b/>
          <w:noProof/>
          <w:sz w:val="28"/>
          <w:szCs w:val="28"/>
          <w:lang w:val="en-GB"/>
        </w:rPr>
        <w:t xml:space="preserve">Government Bodies” </w:t>
      </w:r>
      <w:r w:rsidR="00E2126E" w:rsidRPr="00930D48">
        <w:rPr>
          <w:rFonts w:ascii="Times New Roman" w:hAnsi="Times New Roman" w:cs="Times New Roman"/>
          <w:b/>
          <w:noProof/>
          <w:sz w:val="28"/>
          <w:szCs w:val="28"/>
          <w:lang w:val="en-GB"/>
        </w:rPr>
        <w:t xml:space="preserve">No. 2493-ІІІ </w:t>
      </w:r>
      <w:r w:rsidR="00E2126E">
        <w:rPr>
          <w:rFonts w:ascii="Times New Roman" w:hAnsi="Times New Roman" w:cs="Times New Roman"/>
          <w:b/>
          <w:noProof/>
          <w:sz w:val="28"/>
          <w:szCs w:val="28"/>
          <w:lang w:val="en-GB"/>
        </w:rPr>
        <w:t>dated</w:t>
      </w:r>
      <w:r w:rsidRPr="00930D48">
        <w:rPr>
          <w:rFonts w:ascii="Times New Roman" w:hAnsi="Times New Roman" w:cs="Times New Roman"/>
          <w:b/>
          <w:noProof/>
          <w:sz w:val="28"/>
          <w:szCs w:val="28"/>
          <w:lang w:val="en-GB"/>
        </w:rPr>
        <w:t xml:space="preserve"> June </w:t>
      </w:r>
      <w:r w:rsidR="00803BEE" w:rsidRPr="00930D48">
        <w:rPr>
          <w:rFonts w:ascii="Times New Roman" w:hAnsi="Times New Roman" w:cs="Times New Roman"/>
          <w:b/>
          <w:noProof/>
          <w:sz w:val="28"/>
          <w:szCs w:val="28"/>
          <w:lang w:val="en-GB"/>
        </w:rPr>
        <w:t xml:space="preserve">7, 2001 </w:t>
      </w:r>
      <w:r w:rsidR="0035762B">
        <w:rPr>
          <w:rFonts w:ascii="Times New Roman" w:hAnsi="Times New Roman" w:cs="Times New Roman"/>
          <w:b/>
          <w:noProof/>
          <w:sz w:val="28"/>
          <w:szCs w:val="28"/>
          <w:lang w:val="en-GB"/>
        </w:rPr>
        <w:t>(</w:t>
      </w:r>
      <w:r w:rsidR="0035762B" w:rsidRPr="0035762B">
        <w:rPr>
          <w:rFonts w:ascii="Times New Roman" w:hAnsi="Times New Roman" w:cs="Times New Roman"/>
          <w:b/>
          <w:noProof/>
          <w:sz w:val="28"/>
          <w:szCs w:val="28"/>
          <w:lang w:val="en-GB"/>
        </w:rPr>
        <w:t xml:space="preserve">on the pension provision for </w:t>
      </w:r>
      <w:r w:rsidR="006E3B80">
        <w:rPr>
          <w:rFonts w:ascii="Times New Roman" w:hAnsi="Times New Roman" w:cs="Times New Roman"/>
          <w:b/>
          <w:noProof/>
          <w:sz w:val="28"/>
          <w:szCs w:val="28"/>
          <w:lang w:val="en-GB"/>
        </w:rPr>
        <w:t>public</w:t>
      </w:r>
      <w:r w:rsidR="0035762B" w:rsidRPr="0035762B">
        <w:rPr>
          <w:rFonts w:ascii="Times New Roman" w:hAnsi="Times New Roman" w:cs="Times New Roman"/>
          <w:b/>
          <w:noProof/>
          <w:sz w:val="28"/>
          <w:szCs w:val="28"/>
          <w:lang w:val="en-GB"/>
        </w:rPr>
        <w:t xml:space="preserve"> servants and local </w:t>
      </w:r>
      <w:r w:rsidR="006E3B80">
        <w:rPr>
          <w:rFonts w:ascii="Times New Roman" w:hAnsi="Times New Roman" w:cs="Times New Roman"/>
          <w:b/>
          <w:noProof/>
          <w:sz w:val="28"/>
          <w:szCs w:val="28"/>
          <w:lang w:val="en-GB"/>
        </w:rPr>
        <w:t>self-</w:t>
      </w:r>
      <w:r w:rsidR="0035762B" w:rsidRPr="0035762B">
        <w:rPr>
          <w:rFonts w:ascii="Times New Roman" w:hAnsi="Times New Roman" w:cs="Times New Roman"/>
          <w:b/>
          <w:noProof/>
          <w:sz w:val="28"/>
          <w:szCs w:val="28"/>
          <w:lang w:val="en-GB"/>
        </w:rPr>
        <w:t>government officials</w:t>
      </w:r>
      <w:r w:rsidR="00E75C8F">
        <w:rPr>
          <w:rFonts w:ascii="Times New Roman" w:hAnsi="Times New Roman" w:cs="Times New Roman"/>
          <w:b/>
          <w:noProof/>
          <w:sz w:val="28"/>
          <w:szCs w:val="28"/>
          <w:lang w:val="en-GB"/>
        </w:rPr>
        <w:t>)</w:t>
      </w:r>
      <w:proofErr w:type="gramEnd"/>
    </w:p>
    <w:p w:rsidR="00F30495" w:rsidRPr="00930D48" w:rsidRDefault="00F30495" w:rsidP="009437D7">
      <w:pPr>
        <w:spacing w:after="0" w:line="240" w:lineRule="auto"/>
        <w:jc w:val="both"/>
        <w:rPr>
          <w:rFonts w:ascii="Times New Roman" w:hAnsi="Times New Roman" w:cs="Times New Roman"/>
          <w:noProof/>
          <w:sz w:val="28"/>
          <w:szCs w:val="28"/>
          <w:lang w:val="en-GB"/>
        </w:rPr>
      </w:pPr>
    </w:p>
    <w:p w:rsidR="007B3A86" w:rsidRPr="00930D48" w:rsidRDefault="007B3A86" w:rsidP="007B3A86">
      <w:pPr>
        <w:pStyle w:val="HTML1"/>
        <w:jc w:val="both"/>
        <w:rPr>
          <w:rFonts w:ascii="Times New Roman" w:eastAsiaTheme="minorHAnsi" w:hAnsi="Times New Roman" w:cs="Times New Roman"/>
          <w:noProof/>
          <w:sz w:val="28"/>
          <w:szCs w:val="28"/>
          <w:lang w:val="en-GB" w:eastAsia="en-US"/>
        </w:rPr>
      </w:pPr>
      <w:r w:rsidRPr="00930D48">
        <w:rPr>
          <w:rFonts w:ascii="Times New Roman" w:eastAsiaTheme="minorHAnsi" w:hAnsi="Times New Roman" w:cs="Times New Roman"/>
          <w:noProof/>
          <w:sz w:val="28"/>
          <w:szCs w:val="28"/>
          <w:lang w:val="en-GB" w:eastAsia="en-US"/>
        </w:rPr>
        <w:t xml:space="preserve">The subject of the right to constitutional petition – the Verkhovna Rada of Ukraine Commissioner for Human Rights – appealed to the Constitutional Court of Ukraine to </w:t>
      </w:r>
      <w:r w:rsidR="009B7BD9">
        <w:rPr>
          <w:rFonts w:ascii="Times New Roman" w:eastAsiaTheme="minorHAnsi" w:hAnsi="Times New Roman" w:cs="Times New Roman"/>
          <w:noProof/>
          <w:sz w:val="28"/>
          <w:szCs w:val="28"/>
          <w:lang w:val="en-GB" w:eastAsia="en-US"/>
        </w:rPr>
        <w:t>declare</w:t>
      </w:r>
      <w:r w:rsidRPr="00930D48">
        <w:rPr>
          <w:rFonts w:ascii="Times New Roman" w:eastAsiaTheme="minorHAnsi" w:hAnsi="Times New Roman" w:cs="Times New Roman"/>
          <w:noProof/>
          <w:sz w:val="28"/>
          <w:szCs w:val="28"/>
          <w:lang w:val="en-GB" w:eastAsia="en-US"/>
        </w:rPr>
        <w:t xml:space="preserve"> Article 90.2.1 of Section XI “Final and Transitional Provisions” of the Law “On Public Service” No. 889-VIIІ dated De</w:t>
      </w:r>
      <w:r w:rsidR="00B717C3" w:rsidRPr="00930D48">
        <w:rPr>
          <w:rFonts w:ascii="Times New Roman" w:eastAsiaTheme="minorHAnsi" w:hAnsi="Times New Roman" w:cs="Times New Roman"/>
          <w:noProof/>
          <w:sz w:val="28"/>
          <w:szCs w:val="28"/>
          <w:lang w:val="en-GB" w:eastAsia="en-US"/>
        </w:rPr>
        <w:t>cember 10, 2015 (hereinafter, “Law No. 889”</w:t>
      </w:r>
      <w:r w:rsidRPr="00930D48">
        <w:rPr>
          <w:rFonts w:ascii="Times New Roman" w:eastAsiaTheme="minorHAnsi" w:hAnsi="Times New Roman" w:cs="Times New Roman"/>
          <w:noProof/>
          <w:sz w:val="28"/>
          <w:szCs w:val="28"/>
          <w:lang w:val="en-GB" w:eastAsia="en-US"/>
        </w:rPr>
        <w:t xml:space="preserve">) in terms of extending Article 37 of the Law “On Public Service” No. 3723-XII dated December 16, </w:t>
      </w:r>
      <w:r w:rsidR="009B7BD9">
        <w:rPr>
          <w:rFonts w:ascii="Times New Roman" w:eastAsiaTheme="minorHAnsi" w:hAnsi="Times New Roman" w:cs="Times New Roman"/>
          <w:noProof/>
          <w:sz w:val="28"/>
          <w:szCs w:val="28"/>
          <w:lang w:val="en-GB" w:eastAsia="en-US"/>
        </w:rPr>
        <w:t>1993, as</w:t>
      </w:r>
      <w:r w:rsidR="00982D67">
        <w:rPr>
          <w:rFonts w:ascii="Times New Roman" w:eastAsiaTheme="minorHAnsi" w:hAnsi="Times New Roman" w:cs="Times New Roman"/>
          <w:noProof/>
          <w:sz w:val="28"/>
          <w:szCs w:val="28"/>
          <w:lang w:val="en-GB" w:eastAsia="en-US"/>
        </w:rPr>
        <w:t xml:space="preserve"> amended (hereinafter, “Law No. </w:t>
      </w:r>
      <w:r w:rsidR="009B7BD9">
        <w:rPr>
          <w:rFonts w:ascii="Times New Roman" w:eastAsiaTheme="minorHAnsi" w:hAnsi="Times New Roman" w:cs="Times New Roman"/>
          <w:noProof/>
          <w:sz w:val="28"/>
          <w:szCs w:val="28"/>
          <w:lang w:val="en-GB" w:eastAsia="en-US"/>
        </w:rPr>
        <w:t>3723”</w:t>
      </w:r>
      <w:r w:rsidRPr="00930D48">
        <w:rPr>
          <w:rFonts w:ascii="Times New Roman" w:eastAsiaTheme="minorHAnsi" w:hAnsi="Times New Roman" w:cs="Times New Roman"/>
          <w:noProof/>
          <w:sz w:val="28"/>
          <w:szCs w:val="28"/>
          <w:lang w:val="en-GB" w:eastAsia="en-US"/>
        </w:rPr>
        <w:t>), only to persons specified in paragraphs 10, 12 of Section XI “Final and Transitional Provisions” o</w:t>
      </w:r>
      <w:r w:rsidR="00982D67">
        <w:rPr>
          <w:rFonts w:ascii="Times New Roman" w:eastAsiaTheme="minorHAnsi" w:hAnsi="Times New Roman" w:cs="Times New Roman"/>
          <w:noProof/>
          <w:sz w:val="28"/>
          <w:szCs w:val="28"/>
          <w:lang w:val="en-GB" w:eastAsia="en-US"/>
        </w:rPr>
        <w:t>f Law </w:t>
      </w:r>
      <w:r w:rsidRPr="00930D48">
        <w:rPr>
          <w:rFonts w:ascii="Times New Roman" w:eastAsiaTheme="minorHAnsi" w:hAnsi="Times New Roman" w:cs="Times New Roman"/>
          <w:noProof/>
          <w:sz w:val="28"/>
          <w:szCs w:val="28"/>
          <w:lang w:val="en-GB" w:eastAsia="en-US"/>
        </w:rPr>
        <w:t>No. 889, as well as in terms of not extending the validity of Article 371 of Law No.</w:t>
      </w:r>
      <w:r w:rsidR="0043081F">
        <w:rPr>
          <w:rFonts w:ascii="Times New Roman" w:eastAsiaTheme="minorHAnsi" w:hAnsi="Times New Roman" w:cs="Times New Roman"/>
          <w:noProof/>
          <w:sz w:val="28"/>
          <w:szCs w:val="28"/>
          <w:lang w:val="en-GB" w:eastAsia="en-US"/>
        </w:rPr>
        <w:t> </w:t>
      </w:r>
      <w:r w:rsidRPr="00930D48">
        <w:rPr>
          <w:rFonts w:ascii="Times New Roman" w:eastAsiaTheme="minorHAnsi" w:hAnsi="Times New Roman" w:cs="Times New Roman"/>
          <w:noProof/>
          <w:sz w:val="28"/>
          <w:szCs w:val="28"/>
          <w:lang w:val="en-GB" w:eastAsia="en-US"/>
        </w:rPr>
        <w:t>3723 regarding the recalculation of pensions assigned to public servants; Article 21</w:t>
      </w:r>
      <w:r w:rsidR="0043081F">
        <w:rPr>
          <w:rFonts w:ascii="Times New Roman" w:eastAsiaTheme="minorHAnsi" w:hAnsi="Times New Roman" w:cs="Times New Roman"/>
          <w:noProof/>
          <w:sz w:val="28"/>
          <w:szCs w:val="28"/>
          <w:lang w:val="en-GB" w:eastAsia="en-US"/>
        </w:rPr>
        <w:t>.7</w:t>
      </w:r>
      <w:r w:rsidRPr="00930D48">
        <w:rPr>
          <w:rFonts w:ascii="Times New Roman" w:eastAsiaTheme="minorHAnsi" w:hAnsi="Times New Roman" w:cs="Times New Roman"/>
          <w:noProof/>
          <w:sz w:val="28"/>
          <w:szCs w:val="28"/>
          <w:lang w:val="en-GB" w:eastAsia="en-US"/>
        </w:rPr>
        <w:t xml:space="preserve"> of the Law “On Service in Lo</w:t>
      </w:r>
      <w:r w:rsidR="00982D67">
        <w:rPr>
          <w:rFonts w:ascii="Times New Roman" w:eastAsiaTheme="minorHAnsi" w:hAnsi="Times New Roman" w:cs="Times New Roman"/>
          <w:noProof/>
          <w:sz w:val="28"/>
          <w:szCs w:val="28"/>
          <w:lang w:val="en-GB" w:eastAsia="en-US"/>
        </w:rPr>
        <w:t>cal Self-Government Bodies” No. </w:t>
      </w:r>
      <w:r w:rsidRPr="00930D48">
        <w:rPr>
          <w:rFonts w:ascii="Times New Roman" w:eastAsiaTheme="minorHAnsi" w:hAnsi="Times New Roman" w:cs="Times New Roman"/>
          <w:noProof/>
          <w:sz w:val="28"/>
          <w:szCs w:val="28"/>
          <w:lang w:val="en-GB" w:eastAsia="en-US"/>
        </w:rPr>
        <w:t>2493-III dated June 7,</w:t>
      </w:r>
      <w:r w:rsidR="00B717C3" w:rsidRPr="00930D48">
        <w:rPr>
          <w:rFonts w:ascii="Times New Roman" w:eastAsiaTheme="minorHAnsi" w:hAnsi="Times New Roman" w:cs="Times New Roman"/>
          <w:noProof/>
          <w:sz w:val="28"/>
          <w:szCs w:val="28"/>
          <w:lang w:val="en-GB" w:eastAsia="en-US"/>
        </w:rPr>
        <w:t xml:space="preserve"> 2001 as amended (hereinafter, “Law No. 2493”</w:t>
      </w:r>
      <w:r w:rsidR="00A4752F">
        <w:rPr>
          <w:rFonts w:ascii="Times New Roman" w:eastAsiaTheme="minorHAnsi" w:hAnsi="Times New Roman" w:cs="Times New Roman"/>
          <w:noProof/>
          <w:sz w:val="28"/>
          <w:szCs w:val="28"/>
          <w:lang w:val="en-GB" w:eastAsia="en-US"/>
        </w:rPr>
        <w:t xml:space="preserve">) as incompatible with </w:t>
      </w:r>
      <w:r w:rsidR="00A4752F" w:rsidRPr="00930D48">
        <w:rPr>
          <w:rFonts w:ascii="Times New Roman" w:eastAsiaTheme="minorHAnsi" w:hAnsi="Times New Roman" w:cs="Times New Roman"/>
          <w:noProof/>
          <w:sz w:val="28"/>
          <w:szCs w:val="28"/>
          <w:lang w:val="en-GB" w:eastAsia="en-US"/>
        </w:rPr>
        <w:t>Articles 1, 3.2, 8.1, 8.2, 19.2, 22.2, 22.3, 40, 46.1, 46.2, 64 of the Constitution of Ukraine (unconstitutional)</w:t>
      </w:r>
      <w:r w:rsidR="00A4752F">
        <w:rPr>
          <w:rFonts w:ascii="Times New Roman" w:eastAsiaTheme="minorHAnsi" w:hAnsi="Times New Roman" w:cs="Times New Roman"/>
          <w:noProof/>
          <w:sz w:val="28"/>
          <w:szCs w:val="28"/>
          <w:lang w:val="en-GB" w:eastAsia="en-US"/>
        </w:rPr>
        <w:t>.</w:t>
      </w:r>
    </w:p>
    <w:p w:rsidR="00577BA8" w:rsidRPr="00577BA8" w:rsidRDefault="00577BA8" w:rsidP="00577BA8">
      <w:pPr>
        <w:pStyle w:val="10"/>
        <w:jc w:val="both"/>
        <w:rPr>
          <w:rFonts w:eastAsiaTheme="minorHAnsi"/>
          <w:noProof/>
          <w:szCs w:val="28"/>
          <w:lang w:val="en-GB" w:eastAsia="en-US"/>
        </w:rPr>
      </w:pPr>
      <w:r w:rsidRPr="00577BA8">
        <w:rPr>
          <w:rFonts w:eastAsiaTheme="minorHAnsi"/>
          <w:noProof/>
          <w:szCs w:val="28"/>
          <w:lang w:val="en-GB" w:eastAsia="en-US"/>
        </w:rPr>
        <w:t xml:space="preserve">According to the </w:t>
      </w:r>
      <w:r w:rsidR="00982D67">
        <w:rPr>
          <w:rFonts w:eastAsiaTheme="minorHAnsi"/>
          <w:noProof/>
          <w:szCs w:val="28"/>
          <w:lang w:val="en-GB" w:eastAsia="en-US"/>
        </w:rPr>
        <w:t>contested provisions of Law No. </w:t>
      </w:r>
      <w:r w:rsidRPr="00577BA8">
        <w:rPr>
          <w:rFonts w:eastAsiaTheme="minorHAnsi"/>
          <w:noProof/>
          <w:szCs w:val="28"/>
          <w:lang w:val="en-GB" w:eastAsia="en-US"/>
        </w:rPr>
        <w:t>889, pension provision for public servants is carried out in accordance with Law “On Compulsory State Pension Insurance” No. 1058-IV dated July 9, 2003, as amended (hereinafter, “Law No. 1058”) (Article 90); Law No. 3723 has been repealed, except for Article 37, which applies to persons specified in paragraphs 10</w:t>
      </w:r>
      <w:r w:rsidR="00A267D4">
        <w:rPr>
          <w:rFonts w:eastAsiaTheme="minorHAnsi"/>
          <w:noProof/>
          <w:szCs w:val="28"/>
          <w:lang w:val="en-GB" w:eastAsia="en-US"/>
        </w:rPr>
        <w:t xml:space="preserve">, </w:t>
      </w:r>
      <w:r w:rsidRPr="00577BA8">
        <w:rPr>
          <w:rFonts w:eastAsiaTheme="minorHAnsi"/>
          <w:noProof/>
          <w:szCs w:val="28"/>
          <w:lang w:val="en-GB" w:eastAsia="en-US"/>
        </w:rPr>
        <w:t>12 of Section XI “Final and Tran</w:t>
      </w:r>
      <w:r w:rsidR="00982D67">
        <w:rPr>
          <w:rFonts w:eastAsiaTheme="minorHAnsi"/>
          <w:noProof/>
          <w:szCs w:val="28"/>
          <w:lang w:val="en-GB" w:eastAsia="en-US"/>
        </w:rPr>
        <w:t>sitional Provisions” of Law No. </w:t>
      </w:r>
      <w:r w:rsidRPr="00577BA8">
        <w:rPr>
          <w:rFonts w:eastAsiaTheme="minorHAnsi"/>
          <w:noProof/>
          <w:szCs w:val="28"/>
          <w:lang w:val="en-GB" w:eastAsia="en-US"/>
        </w:rPr>
        <w:t>889 (paragraph 2.1 of Section XI “Final and Transitional Provisions”).</w:t>
      </w:r>
    </w:p>
    <w:p w:rsidR="00577BA8" w:rsidRPr="00577BA8" w:rsidRDefault="00577BA8" w:rsidP="00577BA8">
      <w:pPr>
        <w:pStyle w:val="10"/>
        <w:jc w:val="both"/>
        <w:rPr>
          <w:rFonts w:eastAsiaTheme="minorHAnsi"/>
          <w:szCs w:val="28"/>
          <w:lang w:val="en-GB" w:eastAsia="en-US"/>
        </w:rPr>
      </w:pPr>
      <w:r w:rsidRPr="00577BA8">
        <w:rPr>
          <w:rFonts w:eastAsiaTheme="minorHAnsi"/>
          <w:szCs w:val="28"/>
          <w:lang w:val="en-GB" w:eastAsia="en-US"/>
        </w:rPr>
        <w:t>Under Law No. 889, which entered into force on May 1, 2016, pension provision for public servants is carried</w:t>
      </w:r>
      <w:r w:rsidR="00982D67">
        <w:rPr>
          <w:rFonts w:eastAsiaTheme="minorHAnsi"/>
          <w:szCs w:val="28"/>
          <w:lang w:val="en-GB" w:eastAsia="en-US"/>
        </w:rPr>
        <w:t xml:space="preserve"> out in accordance with Law No. </w:t>
      </w:r>
      <w:r w:rsidRPr="00577BA8">
        <w:rPr>
          <w:rFonts w:eastAsiaTheme="minorHAnsi"/>
          <w:szCs w:val="28"/>
          <w:lang w:val="en-GB" w:eastAsia="en-US"/>
        </w:rPr>
        <w:t>1058 (Article 90), with the exception of persons specified in paragraphs 10</w:t>
      </w:r>
      <w:r w:rsidR="0015492E">
        <w:rPr>
          <w:rFonts w:eastAsiaTheme="minorHAnsi"/>
          <w:szCs w:val="28"/>
          <w:lang w:val="en-GB" w:eastAsia="en-US"/>
        </w:rPr>
        <w:t>, 1</w:t>
      </w:r>
      <w:r w:rsidRPr="00577BA8">
        <w:rPr>
          <w:rFonts w:eastAsiaTheme="minorHAnsi"/>
          <w:szCs w:val="28"/>
          <w:lang w:val="en-GB" w:eastAsia="en-US"/>
        </w:rPr>
        <w:t>2 of Section XI “Final and Tran</w:t>
      </w:r>
      <w:r w:rsidR="00982D67">
        <w:rPr>
          <w:rFonts w:eastAsiaTheme="minorHAnsi"/>
          <w:szCs w:val="28"/>
          <w:lang w:val="en-GB" w:eastAsia="en-US"/>
        </w:rPr>
        <w:t>sitional Provisions” of Law No. </w:t>
      </w:r>
      <w:r w:rsidRPr="00577BA8">
        <w:rPr>
          <w:rFonts w:eastAsiaTheme="minorHAnsi"/>
          <w:szCs w:val="28"/>
          <w:lang w:val="en-GB" w:eastAsia="en-US"/>
        </w:rPr>
        <w:t>889 (paragraph 2</w:t>
      </w:r>
      <w:r w:rsidR="0015492E">
        <w:rPr>
          <w:rFonts w:eastAsiaTheme="minorHAnsi"/>
          <w:szCs w:val="28"/>
          <w:lang w:val="en-GB" w:eastAsia="en-US"/>
        </w:rPr>
        <w:t>.</w:t>
      </w:r>
      <w:r w:rsidR="00A1275C">
        <w:rPr>
          <w:rFonts w:eastAsiaTheme="minorHAnsi"/>
          <w:szCs w:val="28"/>
          <w:lang w:val="en-GB" w:eastAsia="en-US"/>
        </w:rPr>
        <w:t>1</w:t>
      </w:r>
      <w:r w:rsidRPr="00577BA8">
        <w:rPr>
          <w:rFonts w:eastAsiaTheme="minorHAnsi"/>
          <w:szCs w:val="28"/>
          <w:lang w:val="en-GB" w:eastAsia="en-US"/>
        </w:rPr>
        <w:t xml:space="preserve"> of Section XI “Final and Transitional Provisions”).</w:t>
      </w:r>
    </w:p>
    <w:p w:rsidR="00577BA8" w:rsidRPr="00577BA8" w:rsidRDefault="00577BA8" w:rsidP="00577BA8">
      <w:pPr>
        <w:pStyle w:val="10"/>
        <w:jc w:val="both"/>
        <w:rPr>
          <w:rFonts w:eastAsiaTheme="minorHAnsi"/>
          <w:noProof/>
          <w:szCs w:val="28"/>
          <w:lang w:val="en-GB" w:eastAsia="en-US"/>
        </w:rPr>
      </w:pPr>
      <w:r w:rsidRPr="00577BA8">
        <w:rPr>
          <w:rFonts w:eastAsiaTheme="minorHAnsi"/>
          <w:noProof/>
          <w:szCs w:val="28"/>
          <w:lang w:val="en-GB" w:eastAsia="en-US"/>
        </w:rPr>
        <w:t>From January 1, 1994, until the entry into force of Law No. 889, the pension provision for public se</w:t>
      </w:r>
      <w:r w:rsidR="00982D67">
        <w:rPr>
          <w:rFonts w:eastAsiaTheme="minorHAnsi"/>
          <w:noProof/>
          <w:szCs w:val="28"/>
          <w:lang w:val="en-GB" w:eastAsia="en-US"/>
        </w:rPr>
        <w:t>rvants was regulated by Law No. </w:t>
      </w:r>
      <w:r w:rsidRPr="00577BA8">
        <w:rPr>
          <w:rFonts w:eastAsiaTheme="minorHAnsi"/>
          <w:noProof/>
          <w:szCs w:val="28"/>
          <w:lang w:val="en-GB" w:eastAsia="en-US"/>
        </w:rPr>
        <w:t xml:space="preserve">3723. </w:t>
      </w:r>
    </w:p>
    <w:p w:rsidR="00577BA8" w:rsidRPr="00577BA8" w:rsidRDefault="00577BA8" w:rsidP="00577BA8">
      <w:pPr>
        <w:pStyle w:val="10"/>
        <w:jc w:val="both"/>
        <w:rPr>
          <w:rFonts w:eastAsiaTheme="minorHAnsi"/>
          <w:i/>
          <w:noProof/>
          <w:szCs w:val="28"/>
          <w:lang w:val="en-GB" w:eastAsia="en-US"/>
        </w:rPr>
      </w:pPr>
      <w:r w:rsidRPr="00577BA8">
        <w:rPr>
          <w:rFonts w:eastAsiaTheme="minorHAnsi"/>
          <w:noProof/>
          <w:szCs w:val="28"/>
          <w:lang w:val="en-GB" w:eastAsia="en-US"/>
        </w:rPr>
        <w:t xml:space="preserve">Pension provision for public servants and local </w:t>
      </w:r>
      <w:r w:rsidR="00F93816">
        <w:rPr>
          <w:rFonts w:eastAsiaTheme="minorHAnsi"/>
          <w:noProof/>
          <w:szCs w:val="28"/>
          <w:lang w:val="en-GB" w:eastAsia="en-US"/>
        </w:rPr>
        <w:t>self-</w:t>
      </w:r>
      <w:r w:rsidRPr="00577BA8">
        <w:rPr>
          <w:rFonts w:eastAsiaTheme="minorHAnsi"/>
          <w:noProof/>
          <w:szCs w:val="28"/>
          <w:lang w:val="en-GB" w:eastAsia="en-US"/>
        </w:rPr>
        <w:t xml:space="preserve">government officials has been regulated by Law No. 1058 as a general law </w:t>
      </w:r>
      <w:r w:rsidRPr="00577BA8">
        <w:rPr>
          <w:rFonts w:eastAsiaTheme="minorHAnsi"/>
          <w:i/>
          <w:noProof/>
          <w:szCs w:val="28"/>
          <w:lang w:val="en-GB" w:eastAsia="en-US"/>
        </w:rPr>
        <w:t>(lex generalis)</w:t>
      </w:r>
      <w:r w:rsidRPr="00577BA8">
        <w:rPr>
          <w:rFonts w:eastAsiaTheme="minorHAnsi"/>
          <w:noProof/>
          <w:szCs w:val="28"/>
          <w:lang w:val="en-GB" w:eastAsia="en-US"/>
        </w:rPr>
        <w:t xml:space="preserve"> since May 1, 2016, except for the cases specified in Articles 90.10 and 90.12 of Section XI “Final and Transitional Provisions” of Law No. 889, to which Article 37 of Law No. 3723 may be applied as a special law </w:t>
      </w:r>
      <w:r w:rsidRPr="00577BA8">
        <w:rPr>
          <w:rFonts w:eastAsiaTheme="minorHAnsi"/>
          <w:i/>
          <w:noProof/>
          <w:szCs w:val="28"/>
          <w:lang w:val="en-GB" w:eastAsia="en-US"/>
        </w:rPr>
        <w:t>(lex specialis).</w:t>
      </w:r>
    </w:p>
    <w:p w:rsidR="00577BA8" w:rsidRPr="00577BA8" w:rsidRDefault="00577BA8" w:rsidP="00577BA8">
      <w:pPr>
        <w:pStyle w:val="10"/>
        <w:jc w:val="both"/>
        <w:rPr>
          <w:rFonts w:eastAsiaTheme="minorHAnsi"/>
          <w:noProof/>
          <w:szCs w:val="28"/>
          <w:lang w:val="en-GB" w:eastAsia="en-US"/>
        </w:rPr>
      </w:pPr>
      <w:r w:rsidRPr="00577BA8">
        <w:rPr>
          <w:rFonts w:eastAsiaTheme="minorHAnsi"/>
          <w:noProof/>
          <w:szCs w:val="28"/>
          <w:lang w:val="en-GB" w:eastAsia="en-US"/>
        </w:rPr>
        <w:t xml:space="preserve">Pension provision for public servants and local </w:t>
      </w:r>
      <w:r w:rsidR="00D1680F">
        <w:rPr>
          <w:rFonts w:eastAsiaTheme="minorHAnsi"/>
          <w:noProof/>
          <w:szCs w:val="28"/>
          <w:lang w:val="en-GB" w:eastAsia="en-US"/>
        </w:rPr>
        <w:t>self-</w:t>
      </w:r>
      <w:r w:rsidRPr="00577BA8">
        <w:rPr>
          <w:rFonts w:eastAsiaTheme="minorHAnsi"/>
          <w:noProof/>
          <w:szCs w:val="28"/>
          <w:lang w:val="en-GB" w:eastAsia="en-US"/>
        </w:rPr>
        <w:t>government officials from May 1, 2016, is not carried out under the conditions specified by special law, but on</w:t>
      </w:r>
      <w:r w:rsidR="00982D67">
        <w:rPr>
          <w:rFonts w:eastAsiaTheme="minorHAnsi"/>
          <w:noProof/>
          <w:szCs w:val="28"/>
          <w:lang w:val="en-GB" w:eastAsia="en-US"/>
        </w:rPr>
        <w:t xml:space="preserve"> the general </w:t>
      </w:r>
      <w:r w:rsidR="00982D67">
        <w:rPr>
          <w:rFonts w:eastAsiaTheme="minorHAnsi"/>
          <w:noProof/>
          <w:szCs w:val="28"/>
          <w:lang w:val="en-GB" w:eastAsia="en-US"/>
        </w:rPr>
        <w:lastRenderedPageBreak/>
        <w:t>grounds of Law No. </w:t>
      </w:r>
      <w:r w:rsidRPr="00577BA8">
        <w:rPr>
          <w:rFonts w:eastAsiaTheme="minorHAnsi"/>
          <w:noProof/>
          <w:szCs w:val="28"/>
          <w:lang w:val="en-GB" w:eastAsia="en-US"/>
        </w:rPr>
        <w:t xml:space="preserve">1058, except in cases where, on the </w:t>
      </w:r>
      <w:r>
        <w:rPr>
          <w:rFonts w:eastAsiaTheme="minorHAnsi"/>
          <w:noProof/>
          <w:szCs w:val="28"/>
          <w:lang w:val="en-GB" w:eastAsia="en-US"/>
        </w:rPr>
        <w:t>date of entry into force of Law </w:t>
      </w:r>
      <w:r w:rsidR="00982D67">
        <w:rPr>
          <w:rFonts w:eastAsiaTheme="minorHAnsi"/>
          <w:noProof/>
          <w:szCs w:val="28"/>
          <w:lang w:val="en-GB" w:eastAsia="en-US"/>
        </w:rPr>
        <w:t>No. </w:t>
      </w:r>
      <w:r w:rsidRPr="00577BA8">
        <w:rPr>
          <w:rFonts w:eastAsiaTheme="minorHAnsi"/>
          <w:noProof/>
          <w:szCs w:val="28"/>
          <w:lang w:val="en-GB" w:eastAsia="en-US"/>
        </w:rPr>
        <w:t>889, persons had th</w:t>
      </w:r>
      <w:r w:rsidR="00CC7BF4">
        <w:rPr>
          <w:rFonts w:eastAsiaTheme="minorHAnsi"/>
          <w:noProof/>
          <w:szCs w:val="28"/>
          <w:lang w:val="en-GB" w:eastAsia="en-US"/>
        </w:rPr>
        <w:t>e length of service in the public</w:t>
      </w:r>
      <w:r w:rsidRPr="00577BA8">
        <w:rPr>
          <w:rFonts w:eastAsiaTheme="minorHAnsi"/>
          <w:noProof/>
          <w:szCs w:val="28"/>
          <w:lang w:val="en-GB" w:eastAsia="en-US"/>
        </w:rPr>
        <w:t xml:space="preserve"> service or local self-government bodies required for the appoint</w:t>
      </w:r>
      <w:r w:rsidR="00982D67">
        <w:rPr>
          <w:rFonts w:eastAsiaTheme="minorHAnsi"/>
          <w:noProof/>
          <w:szCs w:val="28"/>
          <w:lang w:val="en-GB" w:eastAsia="en-US"/>
        </w:rPr>
        <w:t>ment of a pension under Law No. </w:t>
      </w:r>
      <w:r w:rsidRPr="00577BA8">
        <w:rPr>
          <w:rFonts w:eastAsiaTheme="minorHAnsi"/>
          <w:noProof/>
          <w:szCs w:val="28"/>
          <w:lang w:val="en-GB" w:eastAsia="en-US"/>
        </w:rPr>
        <w:t>3723.</w:t>
      </w:r>
    </w:p>
    <w:p w:rsidR="00577BA8" w:rsidRPr="00577BA8" w:rsidRDefault="00577BA8" w:rsidP="00577BA8">
      <w:pPr>
        <w:pStyle w:val="10"/>
        <w:jc w:val="both"/>
        <w:rPr>
          <w:rFonts w:eastAsiaTheme="minorHAnsi"/>
          <w:noProof/>
          <w:szCs w:val="28"/>
          <w:lang w:val="en-GB" w:eastAsia="en-US"/>
        </w:rPr>
      </w:pPr>
      <w:r w:rsidRPr="00577BA8">
        <w:rPr>
          <w:rFonts w:eastAsiaTheme="minorHAnsi"/>
          <w:noProof/>
          <w:szCs w:val="28"/>
          <w:lang w:val="en-GB" w:eastAsia="en-US"/>
        </w:rPr>
        <w:t>The Verkhovna Rada</w:t>
      </w:r>
      <w:r w:rsidR="00693E0D">
        <w:rPr>
          <w:rFonts w:eastAsiaTheme="minorHAnsi"/>
          <w:noProof/>
          <w:szCs w:val="28"/>
          <w:lang w:val="en-GB" w:eastAsia="en-US"/>
        </w:rPr>
        <w:t xml:space="preserve"> of Ukraine</w:t>
      </w:r>
      <w:r w:rsidRPr="00577BA8">
        <w:rPr>
          <w:rFonts w:eastAsiaTheme="minorHAnsi"/>
          <w:noProof/>
          <w:szCs w:val="28"/>
          <w:lang w:val="en-GB" w:eastAsia="en-US"/>
        </w:rPr>
        <w:t xml:space="preserve">, having established that the pension provision for public servants and local </w:t>
      </w:r>
      <w:r w:rsidR="00D06590">
        <w:rPr>
          <w:rFonts w:eastAsiaTheme="minorHAnsi"/>
          <w:noProof/>
          <w:szCs w:val="28"/>
          <w:lang w:val="en-GB" w:eastAsia="en-US"/>
        </w:rPr>
        <w:t>self-</w:t>
      </w:r>
      <w:r w:rsidRPr="00577BA8">
        <w:rPr>
          <w:rFonts w:eastAsiaTheme="minorHAnsi"/>
          <w:noProof/>
          <w:szCs w:val="28"/>
          <w:lang w:val="en-GB" w:eastAsia="en-US"/>
        </w:rPr>
        <w:t>government officials is car</w:t>
      </w:r>
      <w:r w:rsidR="003B2F3D">
        <w:rPr>
          <w:rFonts w:eastAsiaTheme="minorHAnsi"/>
          <w:noProof/>
          <w:szCs w:val="28"/>
          <w:lang w:val="en-GB" w:eastAsia="en-US"/>
        </w:rPr>
        <w:t>ried out in accordance with Law</w:t>
      </w:r>
      <w:r w:rsidR="003B2F3D">
        <w:rPr>
          <w:rFonts w:eastAsiaTheme="minorHAnsi"/>
          <w:noProof/>
          <w:szCs w:val="28"/>
          <w:lang w:val="en-US" w:eastAsia="en-US"/>
        </w:rPr>
        <w:t> </w:t>
      </w:r>
      <w:r w:rsidR="003B2F3D">
        <w:rPr>
          <w:rFonts w:eastAsiaTheme="minorHAnsi"/>
          <w:noProof/>
          <w:szCs w:val="28"/>
          <w:lang w:val="en-GB" w:eastAsia="en-US"/>
        </w:rPr>
        <w:t>No. </w:t>
      </w:r>
      <w:r w:rsidR="00982D67">
        <w:rPr>
          <w:rFonts w:eastAsiaTheme="minorHAnsi"/>
          <w:noProof/>
          <w:szCs w:val="28"/>
          <w:lang w:val="en-GB" w:eastAsia="en-US"/>
        </w:rPr>
        <w:t>1058 (Article </w:t>
      </w:r>
      <w:r w:rsidRPr="00577BA8">
        <w:rPr>
          <w:rFonts w:eastAsiaTheme="minorHAnsi"/>
          <w:noProof/>
          <w:szCs w:val="28"/>
          <w:lang w:val="en-GB" w:eastAsia="en-US"/>
        </w:rPr>
        <w:t>90 of Law N</w:t>
      </w:r>
      <w:r w:rsidR="00982D67">
        <w:rPr>
          <w:rFonts w:eastAsiaTheme="minorHAnsi"/>
          <w:noProof/>
          <w:szCs w:val="28"/>
          <w:lang w:val="en-GB" w:eastAsia="en-US"/>
        </w:rPr>
        <w:t>o. 889, Article 21.7 of Law No. </w:t>
      </w:r>
      <w:r w:rsidRPr="00577BA8">
        <w:rPr>
          <w:rFonts w:eastAsiaTheme="minorHAnsi"/>
          <w:noProof/>
          <w:szCs w:val="28"/>
          <w:lang w:val="en-GB" w:eastAsia="en-US"/>
        </w:rPr>
        <w:t xml:space="preserve">2493), exercised its powers to determine the basis for social protection and the forms and types of pension provision. </w:t>
      </w:r>
    </w:p>
    <w:p w:rsidR="00577BA8" w:rsidRPr="00577BA8" w:rsidRDefault="00577BA8" w:rsidP="00577BA8">
      <w:pPr>
        <w:pStyle w:val="10"/>
        <w:jc w:val="both"/>
        <w:rPr>
          <w:rFonts w:eastAsiaTheme="minorHAnsi"/>
          <w:szCs w:val="28"/>
          <w:lang w:val="en-GB" w:eastAsia="en-US"/>
        </w:rPr>
      </w:pPr>
      <w:r w:rsidRPr="00577BA8">
        <w:rPr>
          <w:rFonts w:eastAsiaTheme="minorHAnsi"/>
          <w:szCs w:val="28"/>
          <w:lang w:val="en-GB" w:eastAsia="en-US"/>
        </w:rPr>
        <w:t xml:space="preserve">For a long time, the special requirements for public servants and local </w:t>
      </w:r>
      <w:r w:rsidR="00D06590">
        <w:rPr>
          <w:rFonts w:eastAsiaTheme="minorHAnsi"/>
          <w:szCs w:val="28"/>
          <w:lang w:val="en-GB" w:eastAsia="en-US"/>
        </w:rPr>
        <w:t>self-</w:t>
      </w:r>
      <w:r w:rsidRPr="00577BA8">
        <w:rPr>
          <w:rFonts w:eastAsiaTheme="minorHAnsi"/>
          <w:szCs w:val="28"/>
          <w:lang w:val="en-GB" w:eastAsia="en-US"/>
        </w:rPr>
        <w:t xml:space="preserve">government officials and the restrictions on their constitutional rights in connection with their service in the public service and local </w:t>
      </w:r>
      <w:r w:rsidR="00D06590">
        <w:rPr>
          <w:rFonts w:eastAsiaTheme="minorHAnsi"/>
          <w:szCs w:val="28"/>
          <w:lang w:val="en-GB" w:eastAsia="en-US"/>
        </w:rPr>
        <w:t>self-</w:t>
      </w:r>
      <w:r w:rsidRPr="00577BA8">
        <w:rPr>
          <w:rFonts w:eastAsiaTheme="minorHAnsi"/>
          <w:szCs w:val="28"/>
          <w:lang w:val="en-GB" w:eastAsia="en-US"/>
        </w:rPr>
        <w:t xml:space="preserve">government </w:t>
      </w:r>
      <w:proofErr w:type="gramStart"/>
      <w:r w:rsidRPr="00577BA8">
        <w:rPr>
          <w:rFonts w:eastAsiaTheme="minorHAnsi"/>
          <w:szCs w:val="28"/>
          <w:lang w:val="en-GB" w:eastAsia="en-US"/>
        </w:rPr>
        <w:t>were compensated</w:t>
      </w:r>
      <w:proofErr w:type="gramEnd"/>
      <w:r w:rsidRPr="00577BA8">
        <w:rPr>
          <w:rFonts w:eastAsiaTheme="minorHAnsi"/>
          <w:szCs w:val="28"/>
          <w:lang w:val="en-GB" w:eastAsia="en-US"/>
        </w:rPr>
        <w:t xml:space="preserve"> by special conditions for their pension provision under Law No. 3723. </w:t>
      </w:r>
    </w:p>
    <w:p w:rsidR="00577BA8" w:rsidRPr="00577BA8" w:rsidRDefault="00577BA8" w:rsidP="00577BA8">
      <w:pPr>
        <w:pStyle w:val="10"/>
        <w:jc w:val="both"/>
        <w:rPr>
          <w:rFonts w:eastAsiaTheme="minorHAnsi"/>
          <w:szCs w:val="28"/>
          <w:lang w:val="en-GB" w:eastAsia="en-US"/>
        </w:rPr>
      </w:pPr>
      <w:r w:rsidRPr="00577BA8">
        <w:rPr>
          <w:rFonts w:eastAsiaTheme="minorHAnsi"/>
          <w:szCs w:val="28"/>
          <w:lang w:val="en-GB" w:eastAsia="en-US"/>
        </w:rPr>
        <w:t xml:space="preserve">Prior to the entry into force of Law No. 889, contributions to the Pension Fund from the salaries of public servants and local </w:t>
      </w:r>
      <w:r w:rsidR="00D06590">
        <w:rPr>
          <w:rFonts w:eastAsiaTheme="minorHAnsi"/>
          <w:szCs w:val="28"/>
          <w:lang w:val="en-GB" w:eastAsia="en-US"/>
        </w:rPr>
        <w:t>self-</w:t>
      </w:r>
      <w:r w:rsidRPr="00577BA8">
        <w:rPr>
          <w:rFonts w:eastAsiaTheme="minorHAnsi"/>
          <w:szCs w:val="28"/>
          <w:lang w:val="en-GB" w:eastAsia="en-US"/>
        </w:rPr>
        <w:t>government officials were significantly higher than contributions from the salaries of other persons.</w:t>
      </w:r>
    </w:p>
    <w:p w:rsidR="00577BA8" w:rsidRPr="00577BA8" w:rsidRDefault="00577BA8" w:rsidP="00577BA8">
      <w:pPr>
        <w:pStyle w:val="10"/>
        <w:jc w:val="both"/>
        <w:rPr>
          <w:rFonts w:eastAsiaTheme="minorHAnsi"/>
          <w:noProof/>
          <w:szCs w:val="28"/>
          <w:lang w:val="en-GB" w:eastAsia="en-US"/>
        </w:rPr>
      </w:pPr>
      <w:r w:rsidRPr="00577BA8">
        <w:rPr>
          <w:rFonts w:eastAsiaTheme="minorHAnsi"/>
          <w:noProof/>
          <w:szCs w:val="28"/>
          <w:lang w:val="en-GB" w:eastAsia="en-US"/>
        </w:rPr>
        <w:t xml:space="preserve">The payment of an additional levy for compulsory state pension insurance and/or a single contribution for compulsory state social insurance from the salaries of public servants and local </w:t>
      </w:r>
      <w:r w:rsidR="00D06590">
        <w:rPr>
          <w:rFonts w:eastAsiaTheme="minorHAnsi"/>
          <w:noProof/>
          <w:szCs w:val="28"/>
          <w:lang w:val="en-GB" w:eastAsia="en-US"/>
        </w:rPr>
        <w:t>self-</w:t>
      </w:r>
      <w:r w:rsidRPr="00577BA8">
        <w:rPr>
          <w:rFonts w:eastAsiaTheme="minorHAnsi"/>
          <w:noProof/>
          <w:szCs w:val="28"/>
          <w:lang w:val="en-GB" w:eastAsia="en-US"/>
        </w:rPr>
        <w:t>gove</w:t>
      </w:r>
      <w:r w:rsidR="00693E0D">
        <w:rPr>
          <w:rFonts w:eastAsiaTheme="minorHAnsi"/>
          <w:noProof/>
          <w:szCs w:val="28"/>
          <w:lang w:val="en-GB" w:eastAsia="en-US"/>
        </w:rPr>
        <w:t>rnment officials (hereinafter, “increased contributions”</w:t>
      </w:r>
      <w:r w:rsidRPr="00577BA8">
        <w:rPr>
          <w:rFonts w:eastAsiaTheme="minorHAnsi"/>
          <w:noProof/>
          <w:szCs w:val="28"/>
          <w:lang w:val="en-GB" w:eastAsia="en-US"/>
        </w:rPr>
        <w:t>) over a long period of time – from March 15, 2000, to April 30, 2016, inclusive – contributed to the emergence of legitimate expectations regarding the increased amount of their pension provision in the future.</w:t>
      </w:r>
    </w:p>
    <w:p w:rsidR="00577BA8" w:rsidRPr="00577BA8" w:rsidRDefault="00577BA8" w:rsidP="00577BA8">
      <w:pPr>
        <w:pStyle w:val="10"/>
        <w:jc w:val="both"/>
        <w:rPr>
          <w:rFonts w:eastAsiaTheme="minorHAnsi"/>
          <w:noProof/>
          <w:szCs w:val="28"/>
          <w:lang w:val="en-GB" w:eastAsia="en-US"/>
        </w:rPr>
      </w:pPr>
      <w:r w:rsidRPr="00577BA8">
        <w:rPr>
          <w:rFonts w:eastAsiaTheme="minorHAnsi"/>
          <w:noProof/>
          <w:szCs w:val="28"/>
          <w:lang w:val="en-GB" w:eastAsia="en-US"/>
        </w:rPr>
        <w:t xml:space="preserve">The legitimate expectations of public servants and local </w:t>
      </w:r>
      <w:r w:rsidR="00D06590">
        <w:rPr>
          <w:rFonts w:eastAsiaTheme="minorHAnsi"/>
          <w:noProof/>
          <w:szCs w:val="28"/>
          <w:lang w:val="en-GB" w:eastAsia="en-US"/>
        </w:rPr>
        <w:t>self-</w:t>
      </w:r>
      <w:r w:rsidRPr="00577BA8">
        <w:rPr>
          <w:rFonts w:eastAsiaTheme="minorHAnsi"/>
          <w:noProof/>
          <w:szCs w:val="28"/>
          <w:lang w:val="en-GB" w:eastAsia="en-US"/>
        </w:rPr>
        <w:t>government officials regarding the acquisition of the right to a pension on the basis of Article</w:t>
      </w:r>
      <w:r w:rsidR="009974C4">
        <w:rPr>
          <w:rFonts w:eastAsiaTheme="minorHAnsi"/>
          <w:noProof/>
          <w:szCs w:val="28"/>
          <w:lang w:val="en-GB" w:eastAsia="en-US"/>
        </w:rPr>
        <w:t> </w:t>
      </w:r>
      <w:r w:rsidRPr="00577BA8">
        <w:rPr>
          <w:rFonts w:eastAsiaTheme="minorHAnsi"/>
          <w:noProof/>
          <w:szCs w:val="28"/>
          <w:lang w:val="en-GB" w:eastAsia="en-US"/>
        </w:rPr>
        <w:t>37 of Law No.</w:t>
      </w:r>
      <w:r w:rsidR="009974C4">
        <w:rPr>
          <w:rFonts w:eastAsiaTheme="minorHAnsi"/>
          <w:noProof/>
          <w:szCs w:val="28"/>
          <w:lang w:val="en-GB" w:eastAsia="en-US"/>
        </w:rPr>
        <w:t> </w:t>
      </w:r>
      <w:r w:rsidRPr="00577BA8">
        <w:rPr>
          <w:rFonts w:eastAsiaTheme="minorHAnsi"/>
          <w:noProof/>
          <w:szCs w:val="28"/>
          <w:lang w:val="en-GB" w:eastAsia="en-US"/>
        </w:rPr>
        <w:t xml:space="preserve">3723 are linked to the availability of the required length of service in the public service and local </w:t>
      </w:r>
      <w:r w:rsidR="009974C4">
        <w:rPr>
          <w:rFonts w:eastAsiaTheme="minorHAnsi"/>
          <w:noProof/>
          <w:szCs w:val="28"/>
          <w:lang w:val="en-GB" w:eastAsia="en-US"/>
        </w:rPr>
        <w:t>self-</w:t>
      </w:r>
      <w:r w:rsidRPr="00577BA8">
        <w:rPr>
          <w:rFonts w:eastAsiaTheme="minorHAnsi"/>
          <w:noProof/>
          <w:szCs w:val="28"/>
          <w:lang w:val="en-GB" w:eastAsia="en-US"/>
        </w:rPr>
        <w:t>government as of May 1, 2016, and therefore, persons who did not have such length of service on that date did not have such expectations.</w:t>
      </w:r>
    </w:p>
    <w:p w:rsidR="00577BA8" w:rsidRPr="00577BA8" w:rsidRDefault="00577BA8" w:rsidP="00577BA8">
      <w:pPr>
        <w:pStyle w:val="10"/>
        <w:jc w:val="both"/>
        <w:rPr>
          <w:rFonts w:eastAsiaTheme="minorHAnsi"/>
          <w:noProof/>
          <w:szCs w:val="28"/>
          <w:lang w:val="en-GB" w:eastAsia="en-US"/>
        </w:rPr>
      </w:pPr>
      <w:r w:rsidRPr="00577BA8">
        <w:rPr>
          <w:rFonts w:eastAsiaTheme="minorHAnsi"/>
          <w:noProof/>
          <w:szCs w:val="28"/>
          <w:lang w:val="en-GB" w:eastAsia="en-US"/>
        </w:rPr>
        <w:t xml:space="preserve">Public servants and local </w:t>
      </w:r>
      <w:r w:rsidR="009974C4">
        <w:rPr>
          <w:rFonts w:eastAsiaTheme="minorHAnsi"/>
          <w:noProof/>
          <w:szCs w:val="28"/>
          <w:lang w:val="en-GB" w:eastAsia="en-US"/>
        </w:rPr>
        <w:t>self-</w:t>
      </w:r>
      <w:r w:rsidRPr="00577BA8">
        <w:rPr>
          <w:rFonts w:eastAsiaTheme="minorHAnsi"/>
          <w:noProof/>
          <w:szCs w:val="28"/>
          <w:lang w:val="en-GB" w:eastAsia="en-US"/>
        </w:rPr>
        <w:t>government officials who paid increased contributions but are not covered by Articles 90.10 and 90. 12 of Section XI “Final and Tran</w:t>
      </w:r>
      <w:r w:rsidR="006337C7">
        <w:rPr>
          <w:rFonts w:eastAsiaTheme="minorHAnsi"/>
          <w:noProof/>
          <w:szCs w:val="28"/>
          <w:lang w:val="en-GB" w:eastAsia="en-US"/>
        </w:rPr>
        <w:t>sitional Provisions” of Law No. </w:t>
      </w:r>
      <w:r w:rsidRPr="00577BA8">
        <w:rPr>
          <w:rFonts w:eastAsiaTheme="minorHAnsi"/>
          <w:noProof/>
          <w:szCs w:val="28"/>
          <w:lang w:val="en-GB" w:eastAsia="en-US"/>
        </w:rPr>
        <w:t>889, as of May 1, 2016, not only did they not obtain the right to a pension on the terms specif</w:t>
      </w:r>
      <w:r w:rsidR="007941A2">
        <w:rPr>
          <w:rFonts w:eastAsiaTheme="minorHAnsi"/>
          <w:noProof/>
          <w:szCs w:val="28"/>
          <w:lang w:val="en-GB" w:eastAsia="en-US"/>
        </w:rPr>
        <w:t>ied in Article 37 of Law No. </w:t>
      </w:r>
      <w:r w:rsidRPr="00577BA8">
        <w:rPr>
          <w:rFonts w:eastAsiaTheme="minorHAnsi"/>
          <w:noProof/>
          <w:szCs w:val="28"/>
          <w:lang w:val="en-GB" w:eastAsia="en-US"/>
        </w:rPr>
        <w:t>3723, but they also did not receive any compensation for paying i</w:t>
      </w:r>
      <w:r w:rsidR="007941A2">
        <w:rPr>
          <w:rFonts w:eastAsiaTheme="minorHAnsi"/>
          <w:noProof/>
          <w:szCs w:val="28"/>
          <w:lang w:val="en-GB" w:eastAsia="en-US"/>
        </w:rPr>
        <w:t>ncreased contributions: Law No. 889, Law </w:t>
      </w:r>
      <w:r w:rsidRPr="00577BA8">
        <w:rPr>
          <w:rFonts w:eastAsiaTheme="minorHAnsi"/>
          <w:noProof/>
          <w:szCs w:val="28"/>
          <w:lang w:val="en-GB" w:eastAsia="en-US"/>
        </w:rPr>
        <w:t>No.</w:t>
      </w:r>
      <w:r w:rsidR="000E1DB5">
        <w:rPr>
          <w:rFonts w:eastAsiaTheme="minorHAnsi"/>
          <w:noProof/>
          <w:szCs w:val="28"/>
          <w:lang w:val="en-GB" w:eastAsia="en-US"/>
        </w:rPr>
        <w:t> 2493, and Law No. </w:t>
      </w:r>
      <w:r w:rsidRPr="00577BA8">
        <w:rPr>
          <w:rFonts w:eastAsiaTheme="minorHAnsi"/>
          <w:noProof/>
          <w:szCs w:val="28"/>
          <w:lang w:val="en-GB" w:eastAsia="en-US"/>
        </w:rPr>
        <w:t>1058 do not provide for mechanisms for reimbursement for the payment of increased contributions, transitional pension provisions, or consideration of the payment of increased contributions in any other way when calculating pensions for these categories of persons.</w:t>
      </w:r>
    </w:p>
    <w:p w:rsidR="00577BA8" w:rsidRPr="00577BA8" w:rsidRDefault="00577BA8" w:rsidP="00577BA8">
      <w:pPr>
        <w:pStyle w:val="10"/>
        <w:jc w:val="both"/>
        <w:rPr>
          <w:rFonts w:eastAsiaTheme="minorHAnsi"/>
          <w:noProof/>
          <w:szCs w:val="28"/>
          <w:lang w:val="en-GB" w:eastAsia="en-US"/>
        </w:rPr>
      </w:pPr>
      <w:r w:rsidRPr="00577BA8">
        <w:rPr>
          <w:rFonts w:eastAsiaTheme="minorHAnsi"/>
          <w:noProof/>
          <w:szCs w:val="28"/>
          <w:lang w:val="en-GB" w:eastAsia="en-US"/>
        </w:rPr>
        <w:t xml:space="preserve">Pension provision for public servants and local </w:t>
      </w:r>
      <w:r w:rsidR="00EB6C8E">
        <w:rPr>
          <w:rFonts w:eastAsiaTheme="minorHAnsi"/>
          <w:noProof/>
          <w:szCs w:val="28"/>
          <w:lang w:val="en-GB" w:eastAsia="en-US"/>
        </w:rPr>
        <w:t>self-g</w:t>
      </w:r>
      <w:r w:rsidRPr="00577BA8">
        <w:rPr>
          <w:rFonts w:eastAsiaTheme="minorHAnsi"/>
          <w:noProof/>
          <w:szCs w:val="28"/>
          <w:lang w:val="en-GB" w:eastAsia="en-US"/>
        </w:rPr>
        <w:t xml:space="preserve">overnment officials, as well as persons who, on the date of entry into force of Law No. 889, did not have 10 or </w:t>
      </w:r>
      <w:r w:rsidR="00CC7BF4">
        <w:rPr>
          <w:rFonts w:eastAsiaTheme="minorHAnsi"/>
          <w:noProof/>
          <w:szCs w:val="28"/>
          <w:lang w:val="en-GB" w:eastAsia="en-US"/>
        </w:rPr>
        <w:t>20 years of service in the public</w:t>
      </w:r>
      <w:r w:rsidRPr="00577BA8">
        <w:rPr>
          <w:rFonts w:eastAsiaTheme="minorHAnsi"/>
          <w:noProof/>
          <w:szCs w:val="28"/>
          <w:lang w:val="en-GB" w:eastAsia="en-US"/>
        </w:rPr>
        <w:t xml:space="preserve"> service or local </w:t>
      </w:r>
      <w:r w:rsidR="00EB6C8E">
        <w:rPr>
          <w:rFonts w:eastAsiaTheme="minorHAnsi"/>
          <w:noProof/>
          <w:szCs w:val="28"/>
          <w:lang w:val="en-GB" w:eastAsia="en-US"/>
        </w:rPr>
        <w:t>self-</w:t>
      </w:r>
      <w:r w:rsidRPr="00577BA8">
        <w:rPr>
          <w:rFonts w:eastAsiaTheme="minorHAnsi"/>
          <w:noProof/>
          <w:szCs w:val="28"/>
          <w:lang w:val="en-GB" w:eastAsia="en-US"/>
        </w:rPr>
        <w:t xml:space="preserve">government, including those who paid increased contributions between March 15, 2000, and April 30, 2016, inclusive, shall be carried out in accordance with Law No. 1058, i.e., </w:t>
      </w:r>
      <w:r w:rsidR="007941A2">
        <w:rPr>
          <w:rFonts w:eastAsiaTheme="minorHAnsi"/>
          <w:noProof/>
          <w:szCs w:val="28"/>
          <w:lang w:val="en-GB" w:eastAsia="en-US"/>
        </w:rPr>
        <w:t>on general grounds, from May 1, </w:t>
      </w:r>
      <w:r w:rsidRPr="00577BA8">
        <w:rPr>
          <w:rFonts w:eastAsiaTheme="minorHAnsi"/>
          <w:noProof/>
          <w:szCs w:val="28"/>
          <w:lang w:val="en-GB" w:eastAsia="en-US"/>
        </w:rPr>
        <w:t xml:space="preserve">2016. The amount of the pension granted on the basis of Law No. 1058 depends, in particular, on the length of service and the amount of wages from which insurance contributions were paid </w:t>
      </w:r>
      <w:r w:rsidR="007941A2">
        <w:rPr>
          <w:rFonts w:eastAsiaTheme="minorHAnsi"/>
          <w:noProof/>
          <w:szCs w:val="28"/>
          <w:lang w:val="en-GB" w:eastAsia="en-US"/>
        </w:rPr>
        <w:t>(Articles 25, 27, 40 of Law No. </w:t>
      </w:r>
      <w:r w:rsidRPr="00577BA8">
        <w:rPr>
          <w:rFonts w:eastAsiaTheme="minorHAnsi"/>
          <w:noProof/>
          <w:szCs w:val="28"/>
          <w:lang w:val="en-GB" w:eastAsia="en-US"/>
        </w:rPr>
        <w:t>1058).</w:t>
      </w:r>
    </w:p>
    <w:p w:rsidR="00577BA8" w:rsidRPr="00577BA8" w:rsidRDefault="00577BA8" w:rsidP="00577BA8">
      <w:pPr>
        <w:pStyle w:val="10"/>
        <w:jc w:val="both"/>
        <w:rPr>
          <w:rFonts w:eastAsiaTheme="minorHAnsi"/>
          <w:szCs w:val="28"/>
          <w:lang w:val="en-GB" w:eastAsia="en-US"/>
        </w:rPr>
      </w:pPr>
      <w:r w:rsidRPr="00577BA8">
        <w:rPr>
          <w:rFonts w:eastAsiaTheme="minorHAnsi"/>
          <w:szCs w:val="28"/>
          <w:lang w:val="en-GB" w:eastAsia="en-US"/>
        </w:rPr>
        <w:lastRenderedPageBreak/>
        <w:t xml:space="preserve">The change in pension conditions for public servants and local </w:t>
      </w:r>
      <w:r w:rsidR="00EB6C8E">
        <w:rPr>
          <w:rFonts w:eastAsiaTheme="minorHAnsi"/>
          <w:szCs w:val="28"/>
          <w:lang w:val="en-GB" w:eastAsia="en-US"/>
        </w:rPr>
        <w:t>self-</w:t>
      </w:r>
      <w:r w:rsidRPr="00577BA8">
        <w:rPr>
          <w:rFonts w:eastAsiaTheme="minorHAnsi"/>
          <w:szCs w:val="28"/>
          <w:lang w:val="en-GB" w:eastAsia="en-US"/>
        </w:rPr>
        <w:t>government officials had the most negative impact on those who, as of May 1, 2016, had the least time left before becoming eligible for a pension.</w:t>
      </w:r>
    </w:p>
    <w:p w:rsidR="00B717C3" w:rsidRPr="00EB4505" w:rsidRDefault="00577BA8" w:rsidP="00577BA8">
      <w:pPr>
        <w:pStyle w:val="10"/>
        <w:jc w:val="both"/>
        <w:rPr>
          <w:rStyle w:val="1"/>
          <w:rFonts w:eastAsiaTheme="minorHAnsi"/>
          <w:szCs w:val="28"/>
          <w:lang w:val="en-GB" w:eastAsia="en-US"/>
        </w:rPr>
      </w:pPr>
      <w:r w:rsidRPr="00577BA8">
        <w:rPr>
          <w:rFonts w:eastAsiaTheme="minorHAnsi"/>
          <w:szCs w:val="28"/>
          <w:lang w:val="en-GB" w:eastAsia="en-US"/>
        </w:rPr>
        <w:t xml:space="preserve">The change in the legal regulation of pension provision for public servants and local </w:t>
      </w:r>
      <w:r w:rsidR="00353262">
        <w:rPr>
          <w:rFonts w:eastAsiaTheme="minorHAnsi"/>
          <w:szCs w:val="28"/>
          <w:lang w:val="en-GB" w:eastAsia="en-US"/>
        </w:rPr>
        <w:t>self-</w:t>
      </w:r>
      <w:r w:rsidRPr="00577BA8">
        <w:rPr>
          <w:rFonts w:eastAsiaTheme="minorHAnsi"/>
          <w:szCs w:val="28"/>
          <w:lang w:val="en-GB" w:eastAsia="en-US"/>
        </w:rPr>
        <w:t>government officials has led to a significant difference in their pension levels, which</w:t>
      </w:r>
      <w:r w:rsidR="00EB4505">
        <w:rPr>
          <w:rFonts w:eastAsiaTheme="minorHAnsi"/>
          <w:szCs w:val="28"/>
          <w:lang w:val="en-GB" w:eastAsia="en-US"/>
        </w:rPr>
        <w:t xml:space="preserve"> does not ensure legal equality – </w:t>
      </w:r>
      <w:r w:rsidRPr="00577BA8">
        <w:rPr>
          <w:rFonts w:eastAsiaTheme="minorHAnsi"/>
          <w:szCs w:val="28"/>
          <w:lang w:val="en-GB" w:eastAsia="en-US"/>
        </w:rPr>
        <w:t>one of th</w:t>
      </w:r>
      <w:r w:rsidR="00EB4505">
        <w:rPr>
          <w:rFonts w:eastAsiaTheme="minorHAnsi"/>
          <w:szCs w:val="28"/>
          <w:lang w:val="en-GB" w:eastAsia="en-US"/>
        </w:rPr>
        <w:t xml:space="preserve">e components of the rule of law – </w:t>
      </w:r>
      <w:r w:rsidRPr="00577BA8">
        <w:rPr>
          <w:rFonts w:eastAsiaTheme="minorHAnsi"/>
          <w:szCs w:val="28"/>
          <w:lang w:val="en-GB" w:eastAsia="en-US"/>
        </w:rPr>
        <w:t>and violates constitutional guarantees of the right to social protection.</w:t>
      </w:r>
    </w:p>
    <w:p w:rsidR="00B717C3" w:rsidRPr="00930D48" w:rsidRDefault="00B717C3" w:rsidP="00B717C3">
      <w:pPr>
        <w:pStyle w:val="10"/>
        <w:jc w:val="both"/>
        <w:rPr>
          <w:rStyle w:val="1"/>
          <w:bCs/>
          <w:szCs w:val="28"/>
          <w:lang w:val="en-GB"/>
        </w:rPr>
      </w:pPr>
      <w:r w:rsidRPr="00930D48">
        <w:rPr>
          <w:rStyle w:val="1"/>
          <w:bCs/>
          <w:szCs w:val="28"/>
          <w:lang w:val="en-GB"/>
        </w:rPr>
        <w:t xml:space="preserve">The Constitutional Court of Ukraine declared Article 90 of the Law “On Public Service” </w:t>
      </w:r>
      <w:r w:rsidR="00353262" w:rsidRPr="00930D48">
        <w:rPr>
          <w:rStyle w:val="1"/>
          <w:bCs/>
          <w:szCs w:val="28"/>
          <w:lang w:val="en-GB"/>
        </w:rPr>
        <w:t xml:space="preserve">No. 889-VIIІ </w:t>
      </w:r>
      <w:r w:rsidR="00353262">
        <w:rPr>
          <w:rStyle w:val="1"/>
          <w:bCs/>
          <w:szCs w:val="28"/>
          <w:lang w:val="en-GB"/>
        </w:rPr>
        <w:t>dated</w:t>
      </w:r>
      <w:r w:rsidR="007941A2">
        <w:rPr>
          <w:rStyle w:val="1"/>
          <w:bCs/>
          <w:szCs w:val="28"/>
          <w:lang w:val="en-GB"/>
        </w:rPr>
        <w:t xml:space="preserve"> December 10, 2015, </w:t>
      </w:r>
      <w:r w:rsidRPr="00930D48">
        <w:rPr>
          <w:rStyle w:val="1"/>
          <w:bCs/>
          <w:szCs w:val="28"/>
          <w:lang w:val="en-GB"/>
        </w:rPr>
        <w:t xml:space="preserve">Article 21.7 of the Law “On Service in Local Self-Government Bodies” </w:t>
      </w:r>
      <w:r w:rsidR="00353262" w:rsidRPr="00930D48">
        <w:rPr>
          <w:rStyle w:val="1"/>
          <w:bCs/>
          <w:szCs w:val="28"/>
          <w:lang w:val="en-GB"/>
        </w:rPr>
        <w:t xml:space="preserve">No. 2493-III </w:t>
      </w:r>
      <w:r w:rsidRPr="00930D48">
        <w:rPr>
          <w:rStyle w:val="1"/>
          <w:bCs/>
          <w:szCs w:val="28"/>
          <w:lang w:val="en-GB"/>
        </w:rPr>
        <w:t>dated June 7, 2001, as amended</w:t>
      </w:r>
      <w:r w:rsidR="00353262">
        <w:rPr>
          <w:rStyle w:val="1"/>
          <w:bCs/>
          <w:szCs w:val="28"/>
          <w:lang w:val="en-GB"/>
        </w:rPr>
        <w:t>,</w:t>
      </w:r>
      <w:r w:rsidRPr="00930D48">
        <w:rPr>
          <w:rStyle w:val="1"/>
          <w:bCs/>
          <w:szCs w:val="28"/>
          <w:lang w:val="en-GB"/>
        </w:rPr>
        <w:t xml:space="preserve"> as constitutional.</w:t>
      </w:r>
    </w:p>
    <w:p w:rsidR="00B717C3" w:rsidRPr="00930D48" w:rsidRDefault="00B717C3" w:rsidP="00B717C3">
      <w:pPr>
        <w:pStyle w:val="10"/>
        <w:jc w:val="both"/>
        <w:rPr>
          <w:rStyle w:val="1"/>
          <w:bCs/>
          <w:szCs w:val="28"/>
          <w:lang w:val="en-GB"/>
        </w:rPr>
      </w:pPr>
      <w:r w:rsidRPr="00930D48">
        <w:rPr>
          <w:rStyle w:val="1"/>
          <w:bCs/>
          <w:szCs w:val="28"/>
          <w:lang w:val="en-GB"/>
        </w:rPr>
        <w:t xml:space="preserve">Article 90.2.1 of Section XI “Final and Transitional Provisions” of the Law “On Public Service” </w:t>
      </w:r>
      <w:r w:rsidR="00353262" w:rsidRPr="00930D48">
        <w:rPr>
          <w:rStyle w:val="1"/>
          <w:bCs/>
          <w:szCs w:val="28"/>
          <w:lang w:val="en-GB"/>
        </w:rPr>
        <w:t xml:space="preserve">No. 889-VIIІ </w:t>
      </w:r>
      <w:r w:rsidRPr="00930D48">
        <w:rPr>
          <w:rStyle w:val="1"/>
          <w:bCs/>
          <w:szCs w:val="28"/>
          <w:lang w:val="en-GB"/>
        </w:rPr>
        <w:t xml:space="preserve">dated December 10, 2015, is </w:t>
      </w:r>
      <w:r w:rsidR="00353262">
        <w:rPr>
          <w:rStyle w:val="1"/>
          <w:bCs/>
          <w:szCs w:val="28"/>
          <w:lang w:val="en-GB"/>
        </w:rPr>
        <w:t>declared</w:t>
      </w:r>
      <w:r w:rsidRPr="00930D48">
        <w:rPr>
          <w:rStyle w:val="1"/>
          <w:bCs/>
          <w:szCs w:val="28"/>
          <w:lang w:val="en-GB"/>
        </w:rPr>
        <w:t xml:space="preserve"> as unconstitutional in that it does not establish transitional conditions for pension provision or compensation mechanisms for persons who, in the period from March 15, 2000, to the date of entry into force of the Law “On Public Service” </w:t>
      </w:r>
      <w:r w:rsidR="00353262" w:rsidRPr="00930D48">
        <w:rPr>
          <w:rStyle w:val="1"/>
          <w:bCs/>
          <w:szCs w:val="28"/>
          <w:lang w:val="en-GB"/>
        </w:rPr>
        <w:t>No. 8</w:t>
      </w:r>
      <w:r w:rsidR="00353262">
        <w:rPr>
          <w:rStyle w:val="1"/>
          <w:bCs/>
          <w:szCs w:val="28"/>
          <w:lang w:val="en-GB"/>
        </w:rPr>
        <w:t>89-VIIІ</w:t>
      </w:r>
      <w:r w:rsidR="00353262" w:rsidRPr="00930D48">
        <w:rPr>
          <w:rStyle w:val="1"/>
          <w:bCs/>
          <w:szCs w:val="28"/>
          <w:lang w:val="en-GB"/>
        </w:rPr>
        <w:t xml:space="preserve"> </w:t>
      </w:r>
      <w:r w:rsidRPr="00930D48">
        <w:rPr>
          <w:rStyle w:val="1"/>
          <w:bCs/>
          <w:szCs w:val="28"/>
          <w:lang w:val="en-GB"/>
        </w:rPr>
        <w:t>dated December 10, 2015</w:t>
      </w:r>
      <w:r w:rsidR="00CC7BF4">
        <w:rPr>
          <w:rStyle w:val="1"/>
          <w:bCs/>
          <w:szCs w:val="28"/>
          <w:lang w:val="en-GB"/>
        </w:rPr>
        <w:t>, held positions of public</w:t>
      </w:r>
      <w:r w:rsidRPr="00930D48">
        <w:rPr>
          <w:rStyle w:val="1"/>
          <w:bCs/>
          <w:szCs w:val="28"/>
          <w:lang w:val="en-GB"/>
        </w:rPr>
        <w:t xml:space="preserve"> servants, local self-government officials, but as of May 1, 2016, did not have the required length of service for the appointment of a pension on the basis of Article 37 of the Law “On Public Service” </w:t>
      </w:r>
      <w:r w:rsidR="00353262" w:rsidRPr="00930D48">
        <w:rPr>
          <w:rStyle w:val="1"/>
          <w:bCs/>
          <w:szCs w:val="28"/>
          <w:lang w:val="en-GB"/>
        </w:rPr>
        <w:t xml:space="preserve">No. 3723-XII </w:t>
      </w:r>
      <w:r w:rsidR="00353262">
        <w:rPr>
          <w:rStyle w:val="1"/>
          <w:bCs/>
          <w:szCs w:val="28"/>
          <w:lang w:val="en-GB"/>
        </w:rPr>
        <w:t>dated December 16, 1993</w:t>
      </w:r>
      <w:r w:rsidRPr="00930D48">
        <w:rPr>
          <w:rStyle w:val="1"/>
          <w:bCs/>
          <w:szCs w:val="28"/>
          <w:lang w:val="en-GB"/>
        </w:rPr>
        <w:t>, as amended.</w:t>
      </w:r>
    </w:p>
    <w:p w:rsidR="005B1046" w:rsidRPr="00930D48" w:rsidRDefault="0016510F" w:rsidP="00B717C3">
      <w:pPr>
        <w:pStyle w:val="10"/>
        <w:jc w:val="both"/>
        <w:rPr>
          <w:szCs w:val="28"/>
          <w:lang w:val="en-GB"/>
        </w:rPr>
      </w:pPr>
      <w:proofErr w:type="gramStart"/>
      <w:r w:rsidRPr="00930D48">
        <w:rPr>
          <w:rStyle w:val="1"/>
          <w:bCs/>
          <w:szCs w:val="28"/>
          <w:lang w:val="en-GB"/>
        </w:rPr>
        <w:t xml:space="preserve">The Constitutional Court of Ukraine </w:t>
      </w:r>
      <w:r>
        <w:rPr>
          <w:rStyle w:val="1"/>
          <w:bCs/>
          <w:szCs w:val="28"/>
          <w:lang w:val="en-GB"/>
        </w:rPr>
        <w:t>held to</w:t>
      </w:r>
      <w:bookmarkStart w:id="0" w:name="_GoBack"/>
      <w:bookmarkEnd w:id="0"/>
      <w:r w:rsidR="00B717C3" w:rsidRPr="00930D48">
        <w:rPr>
          <w:rStyle w:val="1"/>
          <w:bCs/>
          <w:szCs w:val="28"/>
          <w:lang w:val="en-GB"/>
        </w:rPr>
        <w:t xml:space="preserve"> close the constitutional proceedings in the case on the constitutional </w:t>
      </w:r>
      <w:r w:rsidR="00DC14EB">
        <w:rPr>
          <w:rStyle w:val="1"/>
          <w:bCs/>
          <w:szCs w:val="28"/>
          <w:lang w:val="en-GB"/>
        </w:rPr>
        <w:t>petition</w:t>
      </w:r>
      <w:r w:rsidR="00B717C3" w:rsidRPr="00930D48">
        <w:rPr>
          <w:rStyle w:val="1"/>
          <w:bCs/>
          <w:szCs w:val="28"/>
          <w:lang w:val="en-GB"/>
        </w:rPr>
        <w:t xml:space="preserve"> of the </w:t>
      </w:r>
      <w:proofErr w:type="spellStart"/>
      <w:r w:rsidR="00B717C3" w:rsidRPr="00930D48">
        <w:rPr>
          <w:rStyle w:val="1"/>
          <w:bCs/>
          <w:szCs w:val="28"/>
          <w:lang w:val="en-GB"/>
        </w:rPr>
        <w:t>Verkhovna</w:t>
      </w:r>
      <w:proofErr w:type="spellEnd"/>
      <w:r w:rsidR="00B717C3" w:rsidRPr="00930D48">
        <w:rPr>
          <w:rStyle w:val="1"/>
          <w:bCs/>
          <w:szCs w:val="28"/>
          <w:lang w:val="en-GB"/>
        </w:rPr>
        <w:t xml:space="preserve"> Rada </w:t>
      </w:r>
      <w:r w:rsidR="00693E0D">
        <w:rPr>
          <w:rStyle w:val="1"/>
          <w:bCs/>
          <w:szCs w:val="28"/>
          <w:lang w:val="en-GB"/>
        </w:rPr>
        <w:t xml:space="preserve">of Ukraine </w:t>
      </w:r>
      <w:r w:rsidR="00B717C3" w:rsidRPr="00930D48">
        <w:rPr>
          <w:rStyle w:val="1"/>
          <w:bCs/>
          <w:szCs w:val="28"/>
          <w:lang w:val="en-GB"/>
        </w:rPr>
        <w:t xml:space="preserve">Commissioner for Human Rights regarding the constitutionality of Article 90.2.1 of Section XI “Final and Transitional Provisions” of the Law “On Public Service” </w:t>
      </w:r>
      <w:r w:rsidR="00DC14EB" w:rsidRPr="00930D48">
        <w:rPr>
          <w:rStyle w:val="1"/>
          <w:bCs/>
          <w:szCs w:val="28"/>
          <w:lang w:val="en-GB"/>
        </w:rPr>
        <w:t>No. 889 –</w:t>
      </w:r>
      <w:r w:rsidR="00DC14EB">
        <w:rPr>
          <w:rStyle w:val="1"/>
          <w:bCs/>
          <w:szCs w:val="28"/>
          <w:lang w:val="en-GB"/>
        </w:rPr>
        <w:t xml:space="preserve"> </w:t>
      </w:r>
      <w:r w:rsidR="00DC14EB" w:rsidRPr="00930D48">
        <w:rPr>
          <w:rStyle w:val="1"/>
          <w:bCs/>
          <w:szCs w:val="28"/>
          <w:lang w:val="en-GB"/>
        </w:rPr>
        <w:t xml:space="preserve">VIIІ </w:t>
      </w:r>
      <w:r w:rsidR="00B717C3" w:rsidRPr="00930D48">
        <w:rPr>
          <w:rStyle w:val="1"/>
          <w:bCs/>
          <w:szCs w:val="28"/>
          <w:lang w:val="en-GB"/>
        </w:rPr>
        <w:t>dated December 10, 2015, in that it made it impossible to recalculate</w:t>
      </w:r>
      <w:r w:rsidR="00DC14EB">
        <w:rPr>
          <w:rStyle w:val="1"/>
          <w:bCs/>
          <w:szCs w:val="28"/>
          <w:lang w:val="en-GB"/>
        </w:rPr>
        <w:t xml:space="preserve"> the amounts of pensions assigned</w:t>
      </w:r>
      <w:r w:rsidR="00B717C3" w:rsidRPr="00930D48">
        <w:rPr>
          <w:rStyle w:val="1"/>
          <w:bCs/>
          <w:szCs w:val="28"/>
          <w:lang w:val="en-GB"/>
        </w:rPr>
        <w:t xml:space="preserve"> on the basis of Article 37 of the Law of Ukraine “On Public Service” </w:t>
      </w:r>
      <w:r w:rsidR="00DC14EB" w:rsidRPr="00930D48">
        <w:rPr>
          <w:rStyle w:val="1"/>
          <w:bCs/>
          <w:szCs w:val="28"/>
          <w:lang w:val="en-GB"/>
        </w:rPr>
        <w:t xml:space="preserve">No. 3723–XII </w:t>
      </w:r>
      <w:r w:rsidR="00B717C3" w:rsidRPr="00930D48">
        <w:rPr>
          <w:rStyle w:val="1"/>
          <w:bCs/>
          <w:szCs w:val="28"/>
          <w:lang w:val="en-GB"/>
        </w:rPr>
        <w:t>dated December 16, 1993, as amended, on</w:t>
      </w:r>
      <w:r w:rsidR="007941A2">
        <w:rPr>
          <w:rStyle w:val="1"/>
          <w:bCs/>
          <w:szCs w:val="28"/>
          <w:lang w:val="en-GB"/>
        </w:rPr>
        <w:t xml:space="preserve"> the basis of Article 62.</w:t>
      </w:r>
      <w:r w:rsidR="00B717C3" w:rsidRPr="00930D48">
        <w:rPr>
          <w:rStyle w:val="1"/>
          <w:bCs/>
          <w:szCs w:val="28"/>
          <w:lang w:val="en-GB"/>
        </w:rPr>
        <w:t xml:space="preserve">6 of the Law “On the Constitutional Court of Ukraine” – the </w:t>
      </w:r>
      <w:r w:rsidR="00DC14EB">
        <w:rPr>
          <w:rStyle w:val="1"/>
          <w:bCs/>
          <w:szCs w:val="28"/>
          <w:lang w:val="en-GB"/>
        </w:rPr>
        <w:t>availability</w:t>
      </w:r>
      <w:r w:rsidR="00B717C3" w:rsidRPr="00930D48">
        <w:rPr>
          <w:rStyle w:val="1"/>
          <w:bCs/>
          <w:szCs w:val="28"/>
          <w:lang w:val="en-GB"/>
        </w:rPr>
        <w:t xml:space="preserve"> of a decision of the Constitutional Court </w:t>
      </w:r>
      <w:r w:rsidR="00744D54">
        <w:rPr>
          <w:rStyle w:val="1"/>
          <w:bCs/>
          <w:szCs w:val="28"/>
          <w:lang w:val="en-GB"/>
        </w:rPr>
        <w:t xml:space="preserve">of Ukraine </w:t>
      </w:r>
      <w:r w:rsidR="00B717C3" w:rsidRPr="00930D48">
        <w:rPr>
          <w:rStyle w:val="1"/>
          <w:bCs/>
          <w:szCs w:val="28"/>
          <w:lang w:val="en-GB"/>
        </w:rPr>
        <w:t>on the same subject.</w:t>
      </w:r>
      <w:proofErr w:type="gramEnd"/>
    </w:p>
    <w:p w:rsidR="00FA4708" w:rsidRPr="00930D48" w:rsidRDefault="00FA4708" w:rsidP="009437D7">
      <w:pPr>
        <w:spacing w:after="0" w:line="240" w:lineRule="auto"/>
        <w:jc w:val="both"/>
        <w:rPr>
          <w:rFonts w:ascii="Times New Roman" w:hAnsi="Times New Roman" w:cs="Times New Roman"/>
          <w:sz w:val="28"/>
          <w:szCs w:val="28"/>
          <w:lang w:val="en-GB"/>
        </w:rPr>
      </w:pPr>
    </w:p>
    <w:p w:rsidR="003C18C7" w:rsidRPr="00930D48" w:rsidRDefault="003C18C7" w:rsidP="009437D7">
      <w:pPr>
        <w:spacing w:after="0" w:line="240" w:lineRule="auto"/>
        <w:jc w:val="both"/>
        <w:rPr>
          <w:rFonts w:ascii="Times New Roman" w:hAnsi="Times New Roman" w:cs="Times New Roman"/>
          <w:b/>
          <w:bCs/>
          <w:sz w:val="28"/>
          <w:szCs w:val="28"/>
          <w:u w:val="single"/>
          <w:lang w:val="en-GB"/>
        </w:rPr>
      </w:pPr>
      <w:r w:rsidRPr="00930D48">
        <w:rPr>
          <w:rFonts w:ascii="Times New Roman" w:hAnsi="Times New Roman" w:cs="Times New Roman"/>
          <w:b/>
          <w:bCs/>
          <w:sz w:val="28"/>
          <w:szCs w:val="28"/>
          <w:u w:val="single"/>
          <w:lang w:val="en-GB"/>
        </w:rPr>
        <w:t>Supplementary information:</w:t>
      </w:r>
    </w:p>
    <w:p w:rsidR="006209C6" w:rsidRPr="00930D48" w:rsidRDefault="006209C6" w:rsidP="009437D7">
      <w:pPr>
        <w:spacing w:after="0" w:line="240" w:lineRule="auto"/>
        <w:jc w:val="both"/>
        <w:rPr>
          <w:rFonts w:ascii="Times New Roman" w:hAnsi="Times New Roman" w:cs="Times New Roman"/>
          <w:b/>
          <w:bCs/>
          <w:sz w:val="28"/>
          <w:szCs w:val="28"/>
          <w:u w:val="single"/>
          <w:lang w:val="en-GB"/>
        </w:rPr>
      </w:pPr>
    </w:p>
    <w:p w:rsidR="006209C6" w:rsidRPr="00930D48" w:rsidRDefault="006209C6" w:rsidP="0060483C">
      <w:pPr>
        <w:spacing w:after="0" w:line="240" w:lineRule="auto"/>
        <w:ind w:left="720"/>
        <w:jc w:val="both"/>
        <w:rPr>
          <w:rFonts w:ascii="Times New Roman" w:hAnsi="Times New Roman" w:cs="Times New Roman"/>
          <w:bCs/>
          <w:sz w:val="28"/>
          <w:szCs w:val="28"/>
          <w:lang w:val="en-GB"/>
        </w:rPr>
      </w:pPr>
      <w:r w:rsidRPr="00930D48">
        <w:rPr>
          <w:rFonts w:ascii="Times New Roman" w:hAnsi="Times New Roman" w:cs="Times New Roman"/>
          <w:bCs/>
          <w:sz w:val="28"/>
          <w:szCs w:val="28"/>
          <w:lang w:val="en-GB"/>
        </w:rPr>
        <w:t>Report on the rule of law - Adopted by the Venice Commission at its 86th plenary session (Venice, 25-26 March 2011);</w:t>
      </w:r>
    </w:p>
    <w:p w:rsidR="006209C6" w:rsidRPr="00930D48" w:rsidRDefault="006209C6" w:rsidP="0060483C">
      <w:pPr>
        <w:spacing w:after="0" w:line="240" w:lineRule="auto"/>
        <w:ind w:left="720"/>
        <w:jc w:val="both"/>
        <w:rPr>
          <w:rFonts w:ascii="Times New Roman" w:hAnsi="Times New Roman" w:cs="Times New Roman"/>
          <w:bCs/>
          <w:sz w:val="28"/>
          <w:szCs w:val="28"/>
          <w:lang w:val="en-GB"/>
        </w:rPr>
      </w:pPr>
      <w:r w:rsidRPr="00930D48">
        <w:rPr>
          <w:rFonts w:ascii="Times New Roman" w:hAnsi="Times New Roman" w:cs="Times New Roman"/>
          <w:bCs/>
          <w:sz w:val="28"/>
          <w:szCs w:val="28"/>
          <w:lang w:val="en-GB"/>
        </w:rPr>
        <w:t>Venice Commission Study, The updated Rule of Law Checklist, CDL-</w:t>
      </w:r>
      <w:proofErr w:type="gramStart"/>
      <w:r w:rsidRPr="00930D48">
        <w:rPr>
          <w:rFonts w:ascii="Times New Roman" w:hAnsi="Times New Roman" w:cs="Times New Roman"/>
          <w:bCs/>
          <w:sz w:val="28"/>
          <w:szCs w:val="28"/>
          <w:lang w:val="en-GB"/>
        </w:rPr>
        <w:t>AD(</w:t>
      </w:r>
      <w:proofErr w:type="gramEnd"/>
      <w:r w:rsidRPr="00930D48">
        <w:rPr>
          <w:rFonts w:ascii="Times New Roman" w:hAnsi="Times New Roman" w:cs="Times New Roman"/>
          <w:bCs/>
          <w:sz w:val="28"/>
          <w:szCs w:val="28"/>
          <w:lang w:val="en-GB"/>
        </w:rPr>
        <w:t>2025) 002;</w:t>
      </w:r>
    </w:p>
    <w:p w:rsidR="006209C6" w:rsidRPr="00930D48" w:rsidRDefault="006209C6" w:rsidP="0060483C">
      <w:pPr>
        <w:spacing w:after="0" w:line="240" w:lineRule="auto"/>
        <w:ind w:firstLine="720"/>
        <w:jc w:val="both"/>
        <w:rPr>
          <w:rFonts w:ascii="Times New Roman" w:hAnsi="Times New Roman" w:cs="Times New Roman"/>
          <w:bCs/>
          <w:sz w:val="28"/>
          <w:szCs w:val="28"/>
          <w:lang w:val="en-GB"/>
        </w:rPr>
      </w:pPr>
      <w:r w:rsidRPr="00930D48">
        <w:rPr>
          <w:rFonts w:ascii="Times New Roman" w:hAnsi="Times New Roman" w:cs="Times New Roman"/>
          <w:bCs/>
          <w:sz w:val="28"/>
          <w:szCs w:val="28"/>
          <w:lang w:val="en-GB"/>
        </w:rPr>
        <w:t>European Convention on Human Rights, 1950;</w:t>
      </w:r>
    </w:p>
    <w:p w:rsidR="006209C6" w:rsidRPr="00930D48" w:rsidRDefault="006209C6" w:rsidP="0060483C">
      <w:pPr>
        <w:spacing w:after="0" w:line="240" w:lineRule="auto"/>
        <w:ind w:firstLine="720"/>
        <w:jc w:val="both"/>
        <w:rPr>
          <w:rFonts w:ascii="Times New Roman" w:hAnsi="Times New Roman" w:cs="Times New Roman"/>
          <w:bCs/>
          <w:sz w:val="28"/>
          <w:szCs w:val="28"/>
          <w:lang w:val="en-GB"/>
        </w:rPr>
      </w:pPr>
      <w:r w:rsidRPr="00930D48">
        <w:rPr>
          <w:rFonts w:ascii="Times New Roman" w:hAnsi="Times New Roman" w:cs="Times New Roman"/>
          <w:bCs/>
          <w:sz w:val="28"/>
          <w:szCs w:val="28"/>
          <w:lang w:val="en-GB"/>
        </w:rPr>
        <w:t>Protocol No. 12 to the European Convention on Human Rights, 1950</w:t>
      </w:r>
      <w:proofErr w:type="gramStart"/>
      <w:r w:rsidRPr="00930D48">
        <w:rPr>
          <w:rFonts w:ascii="Times New Roman" w:hAnsi="Times New Roman" w:cs="Times New Roman"/>
          <w:bCs/>
          <w:sz w:val="28"/>
          <w:szCs w:val="28"/>
          <w:lang w:val="en-GB"/>
        </w:rPr>
        <w:t>;</w:t>
      </w:r>
      <w:proofErr w:type="gramEnd"/>
    </w:p>
    <w:p w:rsidR="003C18C7" w:rsidRPr="00930D48" w:rsidRDefault="003C18C7" w:rsidP="009437D7">
      <w:pPr>
        <w:spacing w:after="0" w:line="240" w:lineRule="auto"/>
        <w:jc w:val="both"/>
        <w:rPr>
          <w:rFonts w:ascii="Times New Roman" w:hAnsi="Times New Roman" w:cs="Times New Roman"/>
          <w:sz w:val="28"/>
          <w:szCs w:val="28"/>
          <w:lang w:val="en-GB"/>
        </w:rPr>
      </w:pPr>
    </w:p>
    <w:p w:rsidR="00DD0D14" w:rsidRPr="00553003" w:rsidRDefault="00856545" w:rsidP="009437D7">
      <w:pPr>
        <w:spacing w:after="0" w:line="240" w:lineRule="auto"/>
        <w:jc w:val="both"/>
        <w:rPr>
          <w:rFonts w:ascii="Times New Roman" w:hAnsi="Times New Roman" w:cs="Times New Roman"/>
          <w:b/>
          <w:sz w:val="28"/>
          <w:szCs w:val="28"/>
          <w:u w:val="single"/>
          <w:lang w:val="en-GB"/>
        </w:rPr>
      </w:pPr>
      <w:r w:rsidRPr="00553003">
        <w:rPr>
          <w:rFonts w:ascii="Times New Roman" w:hAnsi="Times New Roman" w:cs="Times New Roman"/>
          <w:b/>
          <w:sz w:val="28"/>
          <w:szCs w:val="28"/>
          <w:u w:val="single"/>
          <w:lang w:val="en-GB"/>
        </w:rPr>
        <w:t>Cross-references</w:t>
      </w:r>
      <w:r w:rsidR="00553003">
        <w:rPr>
          <w:rFonts w:ascii="Times New Roman" w:hAnsi="Times New Roman" w:cs="Times New Roman"/>
          <w:b/>
          <w:sz w:val="28"/>
          <w:szCs w:val="28"/>
          <w:u w:val="single"/>
          <w:lang w:val="en-GB"/>
        </w:rPr>
        <w:t>:</w:t>
      </w:r>
    </w:p>
    <w:p w:rsidR="00DD0D14" w:rsidRPr="00930D48" w:rsidRDefault="00DD0D14" w:rsidP="009437D7">
      <w:pPr>
        <w:spacing w:after="0" w:line="240" w:lineRule="auto"/>
        <w:jc w:val="both"/>
        <w:rPr>
          <w:rFonts w:ascii="Times New Roman" w:hAnsi="Times New Roman" w:cs="Times New Roman"/>
          <w:b/>
          <w:sz w:val="28"/>
          <w:szCs w:val="28"/>
          <w:lang w:val="en-GB"/>
        </w:rPr>
      </w:pPr>
    </w:p>
    <w:p w:rsidR="00DD0D14" w:rsidRPr="00930D48" w:rsidRDefault="00DD0D14" w:rsidP="00DD0D14">
      <w:pPr>
        <w:pStyle w:val="HTML"/>
        <w:ind w:right="-92" w:firstLine="851"/>
        <w:jc w:val="both"/>
        <w:rPr>
          <w:rFonts w:ascii="Times New Roman" w:hAnsi="Times New Roman" w:cs="Times New Roman"/>
          <w:sz w:val="28"/>
          <w:szCs w:val="28"/>
          <w:lang w:val="en-GB"/>
        </w:rPr>
      </w:pPr>
      <w:r w:rsidRPr="00930D48">
        <w:rPr>
          <w:rFonts w:ascii="Times New Roman" w:hAnsi="Times New Roman" w:cs="Times New Roman"/>
          <w:sz w:val="28"/>
          <w:szCs w:val="28"/>
          <w:lang w:val="en-GB"/>
        </w:rPr>
        <w:t>Constitutional Court of Ukraine:</w:t>
      </w:r>
    </w:p>
    <w:p w:rsidR="00DD0D14" w:rsidRPr="00930D48" w:rsidRDefault="00DD0D14" w:rsidP="00DD0D14">
      <w:pPr>
        <w:pStyle w:val="HTML"/>
        <w:ind w:right="-92" w:firstLine="851"/>
        <w:jc w:val="both"/>
        <w:rPr>
          <w:rFonts w:ascii="Times New Roman" w:hAnsi="Times New Roman" w:cs="Times New Roman"/>
          <w:sz w:val="28"/>
          <w:szCs w:val="28"/>
          <w:lang w:val="en-GB"/>
        </w:rPr>
      </w:pPr>
      <w:r w:rsidRPr="00930D48">
        <w:rPr>
          <w:rFonts w:ascii="Times New Roman" w:hAnsi="Times New Roman" w:cs="Times New Roman"/>
          <w:sz w:val="28"/>
          <w:szCs w:val="28"/>
          <w:lang w:val="en-GB"/>
        </w:rPr>
        <w:t xml:space="preserve"> - no. 3-rp/2012, 25.01.2012;</w:t>
      </w:r>
    </w:p>
    <w:p w:rsidR="00DD0D14" w:rsidRPr="00930D48" w:rsidRDefault="00DD0D14" w:rsidP="00DD0D14">
      <w:pPr>
        <w:pStyle w:val="HTML"/>
        <w:ind w:right="-92" w:firstLine="851"/>
        <w:jc w:val="both"/>
        <w:rPr>
          <w:rFonts w:ascii="Times New Roman" w:hAnsi="Times New Roman" w:cs="Times New Roman"/>
          <w:sz w:val="28"/>
          <w:szCs w:val="28"/>
          <w:lang w:val="en-GB"/>
        </w:rPr>
      </w:pPr>
      <w:r w:rsidRPr="00930D48">
        <w:rPr>
          <w:rFonts w:ascii="Times New Roman" w:hAnsi="Times New Roman" w:cs="Times New Roman"/>
          <w:sz w:val="28"/>
          <w:szCs w:val="28"/>
          <w:lang w:val="en-GB"/>
        </w:rPr>
        <w:lastRenderedPageBreak/>
        <w:t xml:space="preserve"> - no. 9-rp/2012, 12.04.2012;</w:t>
      </w:r>
    </w:p>
    <w:p w:rsidR="00DD0D14" w:rsidRPr="00930D48" w:rsidRDefault="00DD0D14" w:rsidP="00DD0D14">
      <w:pPr>
        <w:pStyle w:val="HTML"/>
        <w:ind w:right="-92" w:firstLine="851"/>
        <w:jc w:val="both"/>
        <w:rPr>
          <w:rFonts w:ascii="Times New Roman" w:hAnsi="Times New Roman" w:cs="Times New Roman"/>
          <w:sz w:val="28"/>
          <w:szCs w:val="28"/>
          <w:lang w:val="en-GB"/>
        </w:rPr>
      </w:pPr>
      <w:r w:rsidRPr="00930D48">
        <w:rPr>
          <w:rFonts w:ascii="Times New Roman" w:hAnsi="Times New Roman" w:cs="Times New Roman"/>
          <w:sz w:val="28"/>
          <w:szCs w:val="28"/>
          <w:lang w:val="en-GB"/>
        </w:rPr>
        <w:t xml:space="preserve"> - no. 4-rp/2015, 13.05.2015;</w:t>
      </w:r>
    </w:p>
    <w:p w:rsidR="00DD0D14" w:rsidRPr="00930D48" w:rsidRDefault="00DD0D14" w:rsidP="00DD0D14">
      <w:pPr>
        <w:pStyle w:val="HTML"/>
        <w:ind w:right="-92" w:firstLine="851"/>
        <w:jc w:val="both"/>
        <w:rPr>
          <w:rFonts w:ascii="Times New Roman" w:hAnsi="Times New Roman" w:cs="Times New Roman"/>
          <w:sz w:val="28"/>
          <w:szCs w:val="28"/>
          <w:lang w:val="en-GB"/>
        </w:rPr>
      </w:pPr>
      <w:r w:rsidRPr="00930D48">
        <w:rPr>
          <w:rFonts w:ascii="Times New Roman" w:hAnsi="Times New Roman" w:cs="Times New Roman"/>
          <w:sz w:val="28"/>
          <w:szCs w:val="28"/>
          <w:lang w:val="en-GB"/>
        </w:rPr>
        <w:t xml:space="preserve"> - no. 1-r/2018, 27.02.2018;</w:t>
      </w:r>
    </w:p>
    <w:p w:rsidR="00DD0D14" w:rsidRPr="00930D48" w:rsidRDefault="00DD0D14" w:rsidP="00DD0D14">
      <w:pPr>
        <w:pStyle w:val="HTML"/>
        <w:ind w:right="-92" w:firstLine="851"/>
        <w:jc w:val="both"/>
        <w:rPr>
          <w:rFonts w:ascii="Times New Roman" w:hAnsi="Times New Roman" w:cs="Times New Roman"/>
          <w:sz w:val="28"/>
          <w:szCs w:val="28"/>
          <w:lang w:val="en-GB"/>
        </w:rPr>
      </w:pPr>
      <w:r w:rsidRPr="00930D48">
        <w:rPr>
          <w:rFonts w:ascii="Times New Roman" w:hAnsi="Times New Roman" w:cs="Times New Roman"/>
          <w:sz w:val="28"/>
          <w:szCs w:val="28"/>
          <w:lang w:val="en-GB"/>
        </w:rPr>
        <w:t xml:space="preserve"> - no. 9-r/2018, 07.11.2018;</w:t>
      </w:r>
    </w:p>
    <w:p w:rsidR="00DD0D14" w:rsidRPr="00930D48" w:rsidRDefault="00DD0D14" w:rsidP="00DD0D14">
      <w:pPr>
        <w:pStyle w:val="HTML"/>
        <w:ind w:right="-92" w:firstLine="851"/>
        <w:jc w:val="both"/>
        <w:rPr>
          <w:rFonts w:ascii="Times New Roman" w:hAnsi="Times New Roman" w:cs="Times New Roman"/>
          <w:sz w:val="28"/>
          <w:szCs w:val="28"/>
          <w:lang w:val="en-GB"/>
        </w:rPr>
      </w:pPr>
      <w:r w:rsidRPr="00930D48">
        <w:rPr>
          <w:rFonts w:ascii="Times New Roman" w:hAnsi="Times New Roman" w:cs="Times New Roman"/>
          <w:sz w:val="28"/>
          <w:szCs w:val="28"/>
          <w:lang w:val="en-GB"/>
        </w:rPr>
        <w:t xml:space="preserve"> - no. 5-</w:t>
      </w:r>
      <w:proofErr w:type="gramStart"/>
      <w:r w:rsidRPr="00930D48">
        <w:rPr>
          <w:rFonts w:ascii="Times New Roman" w:hAnsi="Times New Roman" w:cs="Times New Roman"/>
          <w:sz w:val="28"/>
          <w:szCs w:val="28"/>
          <w:lang w:val="en-GB"/>
        </w:rPr>
        <w:t>r(</w:t>
      </w:r>
      <w:proofErr w:type="gramEnd"/>
      <w:r w:rsidRPr="00930D48">
        <w:rPr>
          <w:rFonts w:ascii="Times New Roman" w:hAnsi="Times New Roman" w:cs="Times New Roman"/>
          <w:sz w:val="28"/>
          <w:szCs w:val="28"/>
          <w:lang w:val="en-GB"/>
        </w:rPr>
        <w:t>II)/2020, 18.06.2020;</w:t>
      </w:r>
    </w:p>
    <w:p w:rsidR="00DD0D14" w:rsidRPr="00930D48" w:rsidRDefault="00DD0D14" w:rsidP="00DD0D14">
      <w:pPr>
        <w:pStyle w:val="HTML"/>
        <w:ind w:right="-92" w:firstLine="851"/>
        <w:jc w:val="both"/>
        <w:rPr>
          <w:rFonts w:ascii="Times New Roman" w:hAnsi="Times New Roman" w:cs="Times New Roman"/>
          <w:sz w:val="28"/>
          <w:szCs w:val="28"/>
          <w:lang w:val="en-GB"/>
        </w:rPr>
      </w:pPr>
      <w:r w:rsidRPr="00930D48">
        <w:rPr>
          <w:rFonts w:ascii="Times New Roman" w:hAnsi="Times New Roman" w:cs="Times New Roman"/>
          <w:sz w:val="28"/>
          <w:szCs w:val="28"/>
          <w:lang w:val="en-GB"/>
        </w:rPr>
        <w:t xml:space="preserve"> - no. 3-r/2022, 23.12.2022</w:t>
      </w:r>
      <w:r w:rsidR="0060483C" w:rsidRPr="00930D48">
        <w:rPr>
          <w:rFonts w:ascii="Times New Roman" w:hAnsi="Times New Roman" w:cs="Times New Roman"/>
          <w:sz w:val="28"/>
          <w:szCs w:val="28"/>
          <w:lang w:val="en-GB"/>
        </w:rPr>
        <w:t>.</w:t>
      </w:r>
    </w:p>
    <w:p w:rsidR="003C18C7" w:rsidRPr="00930D48" w:rsidRDefault="003C18C7" w:rsidP="009437D7">
      <w:pPr>
        <w:spacing w:after="0" w:line="240" w:lineRule="auto"/>
        <w:jc w:val="both"/>
        <w:rPr>
          <w:rFonts w:ascii="Times New Roman" w:hAnsi="Times New Roman" w:cs="Times New Roman"/>
          <w:sz w:val="28"/>
          <w:szCs w:val="28"/>
          <w:lang w:val="en-GB"/>
        </w:rPr>
      </w:pPr>
    </w:p>
    <w:p w:rsidR="003C18C7" w:rsidRPr="00930D48" w:rsidRDefault="003C18C7" w:rsidP="003C18C7">
      <w:pPr>
        <w:pStyle w:val="HTML"/>
        <w:ind w:right="-92" w:firstLine="851"/>
        <w:jc w:val="both"/>
        <w:rPr>
          <w:rFonts w:ascii="Times New Roman" w:hAnsi="Times New Roman" w:cs="Times New Roman"/>
          <w:b/>
          <w:sz w:val="28"/>
          <w:szCs w:val="28"/>
          <w:u w:val="single"/>
          <w:lang w:val="en-GB"/>
        </w:rPr>
      </w:pPr>
      <w:r w:rsidRPr="00930D48">
        <w:rPr>
          <w:rFonts w:ascii="Times New Roman" w:hAnsi="Times New Roman" w:cs="Times New Roman"/>
          <w:b/>
          <w:sz w:val="28"/>
          <w:szCs w:val="28"/>
          <w:u w:val="single"/>
          <w:lang w:val="en-GB"/>
        </w:rPr>
        <w:t>European Court of Human Rights:</w:t>
      </w:r>
    </w:p>
    <w:p w:rsidR="003C18C7" w:rsidRPr="00930D48" w:rsidRDefault="003C18C7" w:rsidP="003C18C7">
      <w:pPr>
        <w:pStyle w:val="HTML"/>
        <w:ind w:right="-92" w:firstLine="851"/>
        <w:jc w:val="both"/>
        <w:rPr>
          <w:rFonts w:ascii="Times New Roman" w:hAnsi="Times New Roman" w:cs="Times New Roman"/>
          <w:sz w:val="28"/>
          <w:szCs w:val="28"/>
          <w:lang w:val="en-GB"/>
        </w:rPr>
      </w:pPr>
    </w:p>
    <w:p w:rsidR="003C18C7" w:rsidRPr="00930D48" w:rsidRDefault="003C18C7" w:rsidP="003C18C7">
      <w:pPr>
        <w:pStyle w:val="HTML"/>
        <w:ind w:right="-92" w:firstLine="851"/>
        <w:jc w:val="both"/>
        <w:rPr>
          <w:rFonts w:ascii="Times New Roman" w:hAnsi="Times New Roman" w:cs="Times New Roman"/>
          <w:sz w:val="28"/>
          <w:szCs w:val="28"/>
          <w:lang w:val="en-GB"/>
        </w:rPr>
      </w:pPr>
      <w:r w:rsidRPr="00930D48">
        <w:rPr>
          <w:rFonts w:ascii="Times New Roman" w:hAnsi="Times New Roman" w:cs="Times New Roman"/>
          <w:sz w:val="28"/>
          <w:szCs w:val="28"/>
          <w:lang w:val="en-GB"/>
        </w:rPr>
        <w:t xml:space="preserve"> - </w:t>
      </w:r>
      <w:proofErr w:type="spellStart"/>
      <w:r w:rsidR="006D6523" w:rsidRPr="00930D48">
        <w:rPr>
          <w:rFonts w:asciiTheme="majorBidi" w:hAnsiTheme="majorBidi" w:cstheme="majorBidi"/>
          <w:i/>
          <w:sz w:val="28"/>
          <w:szCs w:val="28"/>
          <w:lang w:val="en-GB"/>
        </w:rPr>
        <w:t>Pichkur</w:t>
      </w:r>
      <w:proofErr w:type="spellEnd"/>
      <w:r w:rsidR="006D6523" w:rsidRPr="00930D48">
        <w:rPr>
          <w:rFonts w:asciiTheme="majorBidi" w:hAnsiTheme="majorBidi" w:cstheme="majorBidi"/>
          <w:i/>
          <w:sz w:val="28"/>
          <w:szCs w:val="28"/>
          <w:lang w:val="en-GB"/>
        </w:rPr>
        <w:t xml:space="preserve"> v. Ukraine</w:t>
      </w:r>
      <w:r w:rsidRPr="00930D48">
        <w:rPr>
          <w:rFonts w:ascii="Times New Roman" w:hAnsi="Times New Roman" w:cs="Times New Roman"/>
          <w:sz w:val="28"/>
          <w:szCs w:val="28"/>
          <w:lang w:val="en-GB"/>
        </w:rPr>
        <w:t xml:space="preserve">, no. </w:t>
      </w:r>
      <w:r w:rsidR="006D6523" w:rsidRPr="00930D48">
        <w:rPr>
          <w:rFonts w:ascii="Times New Roman" w:hAnsi="Times New Roman" w:cs="Times New Roman"/>
          <w:sz w:val="28"/>
          <w:szCs w:val="28"/>
          <w:lang w:val="en-GB"/>
        </w:rPr>
        <w:t>10441/06, 07.11</w:t>
      </w:r>
      <w:r w:rsidRPr="00930D48">
        <w:rPr>
          <w:rFonts w:ascii="Times New Roman" w:hAnsi="Times New Roman" w:cs="Times New Roman"/>
          <w:sz w:val="28"/>
          <w:szCs w:val="28"/>
          <w:lang w:val="en-GB"/>
        </w:rPr>
        <w:t>.</w:t>
      </w:r>
      <w:r w:rsidR="006D6523" w:rsidRPr="00930D48">
        <w:rPr>
          <w:rFonts w:ascii="Times New Roman" w:hAnsi="Times New Roman" w:cs="Times New Roman"/>
          <w:sz w:val="28"/>
          <w:szCs w:val="28"/>
          <w:lang w:val="en-GB"/>
        </w:rPr>
        <w:t xml:space="preserve">2013; </w:t>
      </w:r>
    </w:p>
    <w:p w:rsidR="006D6523" w:rsidRPr="00930D48" w:rsidRDefault="006D6523" w:rsidP="003C18C7">
      <w:pPr>
        <w:pStyle w:val="HTML"/>
        <w:ind w:right="-92" w:firstLine="851"/>
        <w:jc w:val="both"/>
        <w:rPr>
          <w:rFonts w:ascii="Times New Roman" w:hAnsi="Times New Roman" w:cs="Times New Roman"/>
          <w:sz w:val="28"/>
          <w:szCs w:val="28"/>
          <w:lang w:val="en-GB"/>
        </w:rPr>
      </w:pPr>
      <w:r w:rsidRPr="00930D48">
        <w:rPr>
          <w:rFonts w:ascii="Times New Roman" w:hAnsi="Times New Roman" w:cs="Times New Roman"/>
          <w:sz w:val="28"/>
          <w:szCs w:val="28"/>
          <w:lang w:val="en-GB"/>
        </w:rPr>
        <w:t xml:space="preserve"> - </w:t>
      </w:r>
      <w:proofErr w:type="spellStart"/>
      <w:r w:rsidRPr="00930D48">
        <w:rPr>
          <w:rFonts w:asciiTheme="majorBidi" w:hAnsiTheme="majorBidi" w:cstheme="majorBidi"/>
          <w:i/>
          <w:sz w:val="28"/>
          <w:szCs w:val="28"/>
          <w:lang w:val="en-GB"/>
        </w:rPr>
        <w:t>Wessels-Bergervoet</w:t>
      </w:r>
      <w:proofErr w:type="spellEnd"/>
      <w:r w:rsidRPr="00930D48">
        <w:rPr>
          <w:rFonts w:asciiTheme="majorBidi" w:hAnsiTheme="majorBidi" w:cstheme="majorBidi"/>
          <w:i/>
          <w:sz w:val="28"/>
          <w:szCs w:val="28"/>
          <w:lang w:val="en-GB"/>
        </w:rPr>
        <w:t xml:space="preserve"> v. The Netherlands</w:t>
      </w:r>
      <w:r w:rsidRPr="00930D48">
        <w:rPr>
          <w:rFonts w:ascii="Times New Roman" w:hAnsi="Times New Roman" w:cs="Times New Roman"/>
          <w:sz w:val="28"/>
          <w:szCs w:val="28"/>
          <w:lang w:val="en-GB"/>
        </w:rPr>
        <w:t>, no. 34462/97, 04.06.2002.</w:t>
      </w:r>
    </w:p>
    <w:p w:rsidR="003C18C7" w:rsidRPr="00930D48" w:rsidRDefault="003C18C7" w:rsidP="009437D7">
      <w:pPr>
        <w:spacing w:after="0" w:line="240" w:lineRule="auto"/>
        <w:jc w:val="both"/>
        <w:rPr>
          <w:rFonts w:ascii="Times New Roman" w:hAnsi="Times New Roman" w:cs="Times New Roman"/>
          <w:sz w:val="28"/>
          <w:szCs w:val="28"/>
          <w:lang w:val="en-GB"/>
        </w:rPr>
      </w:pPr>
    </w:p>
    <w:sectPr w:rsidR="003C18C7" w:rsidRPr="00930D48" w:rsidSect="00856545">
      <w:pgSz w:w="12240" w:h="15840"/>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545"/>
    <w:rsid w:val="0001534E"/>
    <w:rsid w:val="000B63CD"/>
    <w:rsid w:val="000C0DF7"/>
    <w:rsid w:val="000E1DB5"/>
    <w:rsid w:val="001479D0"/>
    <w:rsid w:val="0015492E"/>
    <w:rsid w:val="001649E5"/>
    <w:rsid w:val="0016510F"/>
    <w:rsid w:val="001B1BDC"/>
    <w:rsid w:val="002515EE"/>
    <w:rsid w:val="00252A47"/>
    <w:rsid w:val="002C5857"/>
    <w:rsid w:val="0031131E"/>
    <w:rsid w:val="00353262"/>
    <w:rsid w:val="0035762B"/>
    <w:rsid w:val="003759CD"/>
    <w:rsid w:val="003825D0"/>
    <w:rsid w:val="003A5AD8"/>
    <w:rsid w:val="003B2F3D"/>
    <w:rsid w:val="003C18C7"/>
    <w:rsid w:val="003C6C7A"/>
    <w:rsid w:val="00405077"/>
    <w:rsid w:val="00407383"/>
    <w:rsid w:val="00417735"/>
    <w:rsid w:val="0043081F"/>
    <w:rsid w:val="00472FC2"/>
    <w:rsid w:val="004C7B93"/>
    <w:rsid w:val="004D6260"/>
    <w:rsid w:val="00523BB7"/>
    <w:rsid w:val="005430AB"/>
    <w:rsid w:val="00553003"/>
    <w:rsid w:val="00555FBC"/>
    <w:rsid w:val="005637EB"/>
    <w:rsid w:val="00577BA8"/>
    <w:rsid w:val="005A1FDA"/>
    <w:rsid w:val="005B1046"/>
    <w:rsid w:val="005E04F7"/>
    <w:rsid w:val="005F1797"/>
    <w:rsid w:val="0060483C"/>
    <w:rsid w:val="006209C6"/>
    <w:rsid w:val="006337C7"/>
    <w:rsid w:val="006338CD"/>
    <w:rsid w:val="006579F0"/>
    <w:rsid w:val="00693E0D"/>
    <w:rsid w:val="006B10A3"/>
    <w:rsid w:val="006C28F6"/>
    <w:rsid w:val="006D6523"/>
    <w:rsid w:val="006E3B80"/>
    <w:rsid w:val="006F51CE"/>
    <w:rsid w:val="007161BF"/>
    <w:rsid w:val="007233EB"/>
    <w:rsid w:val="00744D54"/>
    <w:rsid w:val="007941A2"/>
    <w:rsid w:val="007B3A86"/>
    <w:rsid w:val="00803BEE"/>
    <w:rsid w:val="00852DE8"/>
    <w:rsid w:val="00856545"/>
    <w:rsid w:val="008874DF"/>
    <w:rsid w:val="00930D48"/>
    <w:rsid w:val="00936977"/>
    <w:rsid w:val="009437D7"/>
    <w:rsid w:val="00961974"/>
    <w:rsid w:val="00982D67"/>
    <w:rsid w:val="00991691"/>
    <w:rsid w:val="009974C4"/>
    <w:rsid w:val="009974DA"/>
    <w:rsid w:val="009B7BD9"/>
    <w:rsid w:val="009F3207"/>
    <w:rsid w:val="00A039A2"/>
    <w:rsid w:val="00A1275C"/>
    <w:rsid w:val="00A267D4"/>
    <w:rsid w:val="00A33327"/>
    <w:rsid w:val="00A4752F"/>
    <w:rsid w:val="00B61281"/>
    <w:rsid w:val="00B717C3"/>
    <w:rsid w:val="00C0672A"/>
    <w:rsid w:val="00C15E58"/>
    <w:rsid w:val="00C16C22"/>
    <w:rsid w:val="00C21957"/>
    <w:rsid w:val="00C54C0C"/>
    <w:rsid w:val="00C831E4"/>
    <w:rsid w:val="00CC7BF4"/>
    <w:rsid w:val="00CD1AB9"/>
    <w:rsid w:val="00D01706"/>
    <w:rsid w:val="00D06590"/>
    <w:rsid w:val="00D1680F"/>
    <w:rsid w:val="00D2652F"/>
    <w:rsid w:val="00D27474"/>
    <w:rsid w:val="00D729CA"/>
    <w:rsid w:val="00DC14EB"/>
    <w:rsid w:val="00DC5D79"/>
    <w:rsid w:val="00DD0D14"/>
    <w:rsid w:val="00DD3A0E"/>
    <w:rsid w:val="00E0053B"/>
    <w:rsid w:val="00E20CB0"/>
    <w:rsid w:val="00E2126E"/>
    <w:rsid w:val="00E33811"/>
    <w:rsid w:val="00E432AA"/>
    <w:rsid w:val="00E52EE9"/>
    <w:rsid w:val="00E53BBC"/>
    <w:rsid w:val="00E75C8F"/>
    <w:rsid w:val="00EB4505"/>
    <w:rsid w:val="00EB6C8E"/>
    <w:rsid w:val="00F1254A"/>
    <w:rsid w:val="00F30495"/>
    <w:rsid w:val="00F3183A"/>
    <w:rsid w:val="00F76851"/>
    <w:rsid w:val="00F93816"/>
    <w:rsid w:val="00FA47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4655A"/>
  <w15:chartTrackingRefBased/>
  <w15:docId w15:val="{F083E9A3-E340-43D2-A960-F2E8704E0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Шрифт абзацу за промовчанням1"/>
    <w:rsid w:val="00FA4708"/>
  </w:style>
  <w:style w:type="paragraph" w:customStyle="1" w:styleId="HTML1">
    <w:name w:val="Стандартний HTML1"/>
    <w:basedOn w:val="a"/>
    <w:rsid w:val="00FA47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textAlignment w:val="baseline"/>
    </w:pPr>
    <w:rPr>
      <w:rFonts w:ascii="Courier New" w:eastAsia="Times New Roman" w:hAnsi="Courier New" w:cs="Courier New"/>
      <w:sz w:val="20"/>
      <w:szCs w:val="20"/>
      <w:lang w:eastAsia="ru-RU"/>
    </w:rPr>
  </w:style>
  <w:style w:type="paragraph" w:customStyle="1" w:styleId="10">
    <w:name w:val="Звичайний1"/>
    <w:rsid w:val="007161BF"/>
    <w:pPr>
      <w:suppressAutoHyphens/>
      <w:autoSpaceDN w:val="0"/>
      <w:spacing w:after="0" w:line="240" w:lineRule="auto"/>
      <w:textAlignment w:val="baseline"/>
    </w:pPr>
    <w:rPr>
      <w:rFonts w:ascii="Times New Roman" w:eastAsia="Times New Roman" w:hAnsi="Times New Roman" w:cs="Times New Roman"/>
      <w:sz w:val="28"/>
      <w:szCs w:val="24"/>
      <w:lang w:val="uk-UA" w:eastAsia="ru-RU"/>
    </w:rPr>
  </w:style>
  <w:style w:type="paragraph" w:styleId="HTML">
    <w:name w:val="HTML Preformatted"/>
    <w:basedOn w:val="a"/>
    <w:link w:val="HTML0"/>
    <w:uiPriority w:val="99"/>
    <w:unhideWhenUsed/>
    <w:rsid w:val="003C18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pPr>
    <w:rPr>
      <w:rFonts w:ascii="Courier New" w:eastAsia="Times New Roman" w:hAnsi="Courier New" w:cs="Courier New"/>
      <w:sz w:val="24"/>
      <w:szCs w:val="24"/>
      <w:lang w:eastAsia="uk-UA"/>
    </w:rPr>
  </w:style>
  <w:style w:type="character" w:customStyle="1" w:styleId="HTML0">
    <w:name w:val="Стандартний HTML Знак"/>
    <w:basedOn w:val="a0"/>
    <w:link w:val="HTML"/>
    <w:uiPriority w:val="99"/>
    <w:rsid w:val="003C18C7"/>
    <w:rPr>
      <w:rFonts w:ascii="Courier New" w:eastAsia="Times New Roman" w:hAnsi="Courier New" w:cs="Courier New"/>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627</TotalTime>
  <Pages>4</Pages>
  <Words>6071</Words>
  <Characters>3462</Characters>
  <Application>Microsoft Office Word</Application>
  <DocSecurity>0</DocSecurity>
  <Lines>28</Lines>
  <Paragraphs>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Ірина В. Шевченко</cp:lastModifiedBy>
  <cp:revision>110</cp:revision>
  <dcterms:created xsi:type="dcterms:W3CDTF">2026-01-27T07:01:00Z</dcterms:created>
  <dcterms:modified xsi:type="dcterms:W3CDTF">2026-02-05T09:30:00Z</dcterms:modified>
</cp:coreProperties>
</file>