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CB" w:rsidRDefault="003B6BCB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01386702"/>
    </w:p>
    <w:p w:rsidR="003B6BCB" w:rsidRDefault="003B6BCB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6BCB" w:rsidRDefault="003B6BCB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6BCB" w:rsidRDefault="003B6BCB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6BCB" w:rsidRDefault="003B6BCB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6BCB" w:rsidRDefault="003B6BCB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6BCB" w:rsidRDefault="003B6BCB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C1C" w:rsidRPr="003B6BCB" w:rsidRDefault="00763C1C" w:rsidP="003B6BCB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r w:rsidR="009C101A" w:rsidRPr="003B6BCB">
        <w:rPr>
          <w:rFonts w:ascii="Times New Roman" w:hAnsi="Times New Roman" w:cs="Times New Roman"/>
          <w:b/>
          <w:sz w:val="28"/>
          <w:szCs w:val="28"/>
          <w:lang w:val="uk-UA"/>
        </w:rPr>
        <w:t>Григор’єва Олексія Євгенійовича</w:t>
      </w:r>
      <w:r w:rsidRPr="003B6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bookmarkEnd w:id="0"/>
      <w:r w:rsidR="009C101A" w:rsidRPr="003B6BCB">
        <w:rPr>
          <w:rFonts w:ascii="Times New Roman" w:hAnsi="Times New Roman" w:cs="Times New Roman"/>
          <w:b/>
          <w:sz w:val="28"/>
          <w:szCs w:val="28"/>
          <w:lang w:val="uk-UA"/>
        </w:rPr>
        <w:t>абзацу дванадцятого пункту 2 частини четвертої статті 374 Кримінального</w:t>
      </w:r>
      <w:r w:rsidR="003B6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101A" w:rsidRPr="003B6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процесуального </w:t>
      </w:r>
      <w:r w:rsidR="003B6B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B6B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101A" w:rsidRPr="003B6BCB">
        <w:rPr>
          <w:rFonts w:ascii="Times New Roman" w:hAnsi="Times New Roman" w:cs="Times New Roman"/>
          <w:b/>
          <w:sz w:val="28"/>
          <w:szCs w:val="28"/>
          <w:lang w:val="uk-UA"/>
        </w:rPr>
        <w:t>кодексу України</w:t>
      </w:r>
    </w:p>
    <w:p w:rsidR="009C101A" w:rsidRPr="003B6BCB" w:rsidRDefault="009C101A" w:rsidP="003B6B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C1C" w:rsidRPr="003B6BCB" w:rsidRDefault="00763C1C" w:rsidP="003B6BCB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 и ї в </w:t>
      </w:r>
      <w:r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 xml:space="preserve">Справа </w:t>
      </w:r>
      <w:r w:rsidRPr="003B6B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№ 3-</w:t>
      </w:r>
      <w:r w:rsidR="009C101A" w:rsidRPr="003B6B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56/2025(111/25</w:t>
      </w:r>
      <w:r w:rsidRPr="003B6B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)</w:t>
      </w:r>
    </w:p>
    <w:p w:rsidR="00763C1C" w:rsidRPr="003B6BCB" w:rsidRDefault="00567B1B" w:rsidP="003B6BCB">
      <w:pPr>
        <w:pStyle w:val="a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C101A" w:rsidRPr="003B6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CBE" w:rsidRPr="003B6BC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763C1C" w:rsidRPr="003B6B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101A"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763C1C"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</w:p>
    <w:p w:rsidR="00763C1C" w:rsidRPr="003B6BCB" w:rsidRDefault="002A2D42" w:rsidP="003B6BC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567B1B"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111</w:t>
      </w:r>
      <w:r w:rsidR="00763C1C"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-1(І)/202</w:t>
      </w:r>
      <w:r w:rsidR="009C101A" w:rsidRPr="003B6BC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763C1C" w:rsidRPr="003B6BCB" w:rsidRDefault="00763C1C" w:rsidP="003B6B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F710F" w:rsidRPr="003B6BCB" w:rsidRDefault="00CF710F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Перша колегія суддів Першого сенату Конституційного Суду України 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у складі:</w:t>
      </w:r>
    </w:p>
    <w:p w:rsidR="00CF710F" w:rsidRPr="003B6BCB" w:rsidRDefault="00CF710F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F710F" w:rsidRPr="003B6BCB" w:rsidRDefault="00CF710F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</w:t>
      </w:r>
      <w:proofErr w:type="spellStart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Тодосьовича</w:t>
      </w:r>
      <w:proofErr w:type="spellEnd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головуючого, доповідача,</w:t>
      </w:r>
    </w:p>
    <w:p w:rsidR="00CF710F" w:rsidRPr="003B6BCB" w:rsidRDefault="00CF710F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Кичуна</w:t>
      </w:r>
      <w:proofErr w:type="spellEnd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Віктора Івановича,</w:t>
      </w:r>
    </w:p>
    <w:p w:rsidR="00CF710F" w:rsidRPr="003B6BCB" w:rsidRDefault="00CF710F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 Алли Сергіївни,</w:t>
      </w:r>
    </w:p>
    <w:p w:rsidR="00763C1C" w:rsidRPr="003B6BCB" w:rsidRDefault="00763C1C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9C101A" w:rsidRPr="003B6BCB">
        <w:rPr>
          <w:rFonts w:ascii="Times New Roman" w:hAnsi="Times New Roman" w:cs="Times New Roman"/>
          <w:sz w:val="28"/>
          <w:szCs w:val="28"/>
          <w:lang w:val="uk-UA"/>
        </w:rPr>
        <w:t>Григор’єва Олексія Євгенійовича щодо відповідності Конституції України (конституційності) абзацу дванадцятого пункту 2 частини четвертої статті 374 Кримінального процесуального кодексу України</w:t>
      </w:r>
      <w:r w:rsidRPr="003B6B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П.Т. та дослідивши матеріали справи, Перша колегія суддів Першого сенату Конституційного Суду України</w:t>
      </w:r>
    </w:p>
    <w:p w:rsidR="003B6BCB" w:rsidRPr="003B6BCB" w:rsidRDefault="003B6BCB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3B6BCB" w:rsidRDefault="00763C1C" w:rsidP="003B6BC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л а: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86BA1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Григор’єв О.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Є. звернувся до Конституційного Суду України з клопотанням перевір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ити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відповідність частині другій статті 2</w:t>
      </w:r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9,</w:t>
      </w:r>
      <w:r w:rsid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частині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першій статті </w:t>
      </w:r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62 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Конституції України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(конституційність)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абзац дванадцятий пункту 2 частини четвертої статті 374 Кримінального процесуального кодексу України</w:t>
      </w:r>
      <w:r w:rsidR="00F41A99" w:rsidRPr="003B6B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(далі – Кодекс)</w:t>
      </w:r>
      <w:r w:rsidR="004667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 w:rsidR="00A90CAD" w:rsidRPr="003B6B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відповідно до якого</w:t>
      </w:r>
      <w:r w:rsidR="003B6B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br/>
      </w:r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резолютивній частині </w:t>
      </w:r>
      <w:proofErr w:type="spellStart"/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вироку</w:t>
      </w:r>
      <w:proofErr w:type="spellEnd"/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 разі визнання особи винуватою, зазначається 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</w:t>
      </w:r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щодо заходів забезпечення кримінального провадження, у тому числі рішення про запобіжний захід до набрання </w:t>
      </w:r>
      <w:proofErr w:type="spellStart"/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вироком</w:t>
      </w:r>
      <w:proofErr w:type="spellEnd"/>
      <w:r w:rsidR="009C101A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законної сили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</w:t>
      </w:r>
      <w:r w:rsidRPr="003B6B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Автор клопотання вважає, що </w:t>
      </w:r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оспорюван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оложення</w:t>
      </w:r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Кодексу</w:t>
      </w:r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 xml:space="preserve">не відповідає Конституції України, оскільки 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 утримують під вартою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підставі </w:t>
      </w:r>
      <w:proofErr w:type="spellStart"/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вироку</w:t>
      </w:r>
      <w:proofErr w:type="spellEnd"/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який не набрав законної сили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Закону України „Про Конституційний Суд України“ конституційна скарга має містити, зокрема,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передбаченим, зокрема,</w:t>
      </w:r>
      <w:r w:rsid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55 цього закону (абзац перший частини першої статті 77).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Зі змісту конституційної скарги вбачається, що аргументація автора клопотання щодо невідповідності Конституції України </w:t>
      </w:r>
      <w:r w:rsidR="00E86BA1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абзацу дванадцятого пункту 2 частини четвертої статті 374 </w:t>
      </w:r>
      <w:r w:rsidR="00F41A99" w:rsidRPr="003B6B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Кодексу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зводиться до незгоди із застосуванням в остаточному судовому рішенні в його справі оспорюван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ого 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положен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Кодексу, що не можна вважати обґрунтуванням тверджень щодо </w:t>
      </w:r>
      <w:r w:rsidR="00A90CAD"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неконституційності.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Конституційний Суд України неодноразово зазначав, що вирішення питань застосування судами законів України не належить до його повноважень [Ухвала Великої палати Конституційного Суду України від 31 травня 2018 року</w:t>
      </w:r>
      <w:r w:rsid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28-у/2018; ухвали Першого сенату Конституційного Суду України</w:t>
      </w:r>
      <w:r w:rsid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від 9 вересня 2020 року № 18-уп(І)/2020, Другого сенату Конституційного Суду України від 7 вересня 2022 року № 5-уп(II)/2022]. </w:t>
      </w: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автор клопотання не дотримав вимог пункту 6 частини другої 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пунктом 4 статті 62 цього закону – неприйнятність конституційної скарги.</w:t>
      </w:r>
    </w:p>
    <w:p w:rsidR="00763C1C" w:rsidRPr="003B6BCB" w:rsidRDefault="00763C1C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Ураховуючи викладене та керуючись статтями 147, 151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153 Конституції України, на підставі статей 7, 8, 32, 37, 50, 55,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763C1C" w:rsidRPr="003B6BCB" w:rsidRDefault="00763C1C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F710F" w:rsidRPr="003B6BCB" w:rsidRDefault="00CF710F" w:rsidP="003B6BC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 о с т а н о в и л а:</w:t>
      </w:r>
    </w:p>
    <w:p w:rsidR="00763C1C" w:rsidRPr="003B6BCB" w:rsidRDefault="00763C1C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3B6BCB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у відкритті конституційного провадження у справі за конституційною скаргою </w:t>
      </w:r>
      <w:r w:rsidR="009C101A" w:rsidRPr="003B6BCB">
        <w:rPr>
          <w:rFonts w:ascii="Times New Roman" w:hAnsi="Times New Roman" w:cs="Times New Roman"/>
          <w:sz w:val="28"/>
          <w:szCs w:val="28"/>
          <w:lang w:val="uk-UA"/>
        </w:rPr>
        <w:t>Григор’єва Олексія Євгенійовича щодо відповідності Конституції України (конституційності) абзацу дванадцятого пункту 2</w:t>
      </w:r>
      <w:r w:rsidR="003B6BCB">
        <w:rPr>
          <w:rFonts w:ascii="Times New Roman" w:hAnsi="Times New Roman" w:cs="Times New Roman"/>
          <w:sz w:val="28"/>
          <w:szCs w:val="28"/>
          <w:lang w:val="uk-UA"/>
        </w:rPr>
        <w:br/>
      </w:r>
      <w:r w:rsidR="009C101A" w:rsidRPr="003B6BCB">
        <w:rPr>
          <w:rFonts w:ascii="Times New Roman" w:hAnsi="Times New Roman" w:cs="Times New Roman"/>
          <w:sz w:val="28"/>
          <w:szCs w:val="28"/>
          <w:lang w:val="uk-UA"/>
        </w:rPr>
        <w:t>частини четвертої статті 374 Кримінального процесуального кодексу України</w:t>
      </w:r>
      <w:r w:rsidR="00F41A99" w:rsidRPr="003B6BC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3B6BCB">
        <w:rPr>
          <w:rFonts w:ascii="Times New Roman" w:hAnsi="Times New Roman" w:cs="Times New Roman"/>
          <w:sz w:val="28"/>
          <w:szCs w:val="28"/>
          <w:lang w:val="uk-UA"/>
        </w:rPr>
        <w:t>на підставі пункту 4 статті 62 Закону України „Про Конституційний Суд</w:t>
      </w:r>
      <w:r w:rsidR="003B6BC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B6BCB">
        <w:rPr>
          <w:rFonts w:ascii="Times New Roman" w:hAnsi="Times New Roman" w:cs="Times New Roman"/>
          <w:sz w:val="28"/>
          <w:szCs w:val="28"/>
          <w:lang w:val="uk-UA"/>
        </w:rPr>
        <w:t>України“ – неприйнятність конституційної скарги.</w:t>
      </w:r>
    </w:p>
    <w:p w:rsidR="00763C1C" w:rsidRPr="003B6BCB" w:rsidRDefault="00763C1C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Default="00763C1C" w:rsidP="003B6BC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B6B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Ухвала є остаточною.</w:t>
      </w:r>
    </w:p>
    <w:p w:rsidR="003B6BCB" w:rsidRDefault="003B6BCB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A795E" w:rsidRDefault="00AA795E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B6BCB" w:rsidRDefault="003B6BCB" w:rsidP="003B6B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A795E" w:rsidRPr="00D237AC" w:rsidRDefault="00AA795E" w:rsidP="00AA795E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bookmarkStart w:id="1" w:name="_GoBack"/>
      <w:r w:rsidRPr="00D237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Перша колегія суддів</w:t>
      </w:r>
    </w:p>
    <w:p w:rsidR="00AA795E" w:rsidRPr="00D237AC" w:rsidRDefault="00AA795E" w:rsidP="00AA795E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D237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Першого сенату</w:t>
      </w:r>
    </w:p>
    <w:p w:rsidR="003B6BCB" w:rsidRDefault="00AA795E" w:rsidP="00AA795E">
      <w:pPr>
        <w:spacing w:after="0" w:line="240" w:lineRule="auto"/>
        <w:ind w:left="425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237AC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Конституційного Суду України</w:t>
      </w:r>
      <w:bookmarkEnd w:id="1"/>
    </w:p>
    <w:sectPr w:rsidR="003B6BCB" w:rsidSect="003B6BCB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1C" w:rsidRDefault="00763C1C" w:rsidP="00763C1C">
      <w:pPr>
        <w:spacing w:after="0" w:line="240" w:lineRule="auto"/>
      </w:pPr>
      <w:r>
        <w:separator/>
      </w:r>
    </w:p>
  </w:endnote>
  <w:end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CB" w:rsidRPr="003B6BCB" w:rsidRDefault="003B6BCB">
    <w:pPr>
      <w:pStyle w:val="a5"/>
      <w:rPr>
        <w:rFonts w:ascii="Times New Roman" w:hAnsi="Times New Roman" w:cs="Times New Roman"/>
        <w:sz w:val="10"/>
        <w:szCs w:val="10"/>
      </w:rPr>
    </w:pPr>
    <w:r w:rsidRPr="003B6BCB">
      <w:rPr>
        <w:rFonts w:ascii="Times New Roman" w:hAnsi="Times New Roman" w:cs="Times New Roman"/>
        <w:sz w:val="10"/>
        <w:szCs w:val="10"/>
      </w:rPr>
      <w:fldChar w:fldCharType="begin"/>
    </w:r>
    <w:r w:rsidRPr="003B6BCB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3B6BCB">
      <w:rPr>
        <w:rFonts w:ascii="Times New Roman" w:hAnsi="Times New Roman" w:cs="Times New Roman"/>
        <w:sz w:val="10"/>
        <w:szCs w:val="10"/>
      </w:rPr>
      <w:fldChar w:fldCharType="separate"/>
    </w:r>
    <w:r w:rsidR="00AA795E">
      <w:rPr>
        <w:rFonts w:ascii="Times New Roman" w:hAnsi="Times New Roman" w:cs="Times New Roman"/>
        <w:noProof/>
        <w:sz w:val="10"/>
        <w:szCs w:val="10"/>
      </w:rPr>
      <w:t>G:\2025\Suddi\I senat\I koleg\11.docx</w:t>
    </w:r>
    <w:r w:rsidRPr="003B6BC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CB" w:rsidRPr="003B6BCB" w:rsidRDefault="003B6BCB">
    <w:pPr>
      <w:pStyle w:val="a5"/>
      <w:rPr>
        <w:rFonts w:ascii="Times New Roman" w:hAnsi="Times New Roman" w:cs="Times New Roman"/>
        <w:sz w:val="10"/>
        <w:szCs w:val="10"/>
      </w:rPr>
    </w:pPr>
    <w:r w:rsidRPr="003B6BCB">
      <w:rPr>
        <w:rFonts w:ascii="Times New Roman" w:hAnsi="Times New Roman" w:cs="Times New Roman"/>
        <w:sz w:val="10"/>
        <w:szCs w:val="10"/>
      </w:rPr>
      <w:fldChar w:fldCharType="begin"/>
    </w:r>
    <w:r w:rsidRPr="003B6BCB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3B6BCB">
      <w:rPr>
        <w:rFonts w:ascii="Times New Roman" w:hAnsi="Times New Roman" w:cs="Times New Roman"/>
        <w:sz w:val="10"/>
        <w:szCs w:val="10"/>
      </w:rPr>
      <w:fldChar w:fldCharType="separate"/>
    </w:r>
    <w:r w:rsidR="00AA795E">
      <w:rPr>
        <w:rFonts w:ascii="Times New Roman" w:hAnsi="Times New Roman" w:cs="Times New Roman"/>
        <w:noProof/>
        <w:sz w:val="10"/>
        <w:szCs w:val="10"/>
      </w:rPr>
      <w:t>G:\2025\Suddi\I senat\I koleg\11.docx</w:t>
    </w:r>
    <w:r w:rsidRPr="003B6BCB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1C" w:rsidRDefault="00763C1C" w:rsidP="00763C1C">
      <w:pPr>
        <w:spacing w:after="0" w:line="240" w:lineRule="auto"/>
      </w:pPr>
      <w:r>
        <w:separator/>
      </w:r>
    </w:p>
  </w:footnote>
  <w:foot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3C1C" w:rsidRPr="003B6BCB" w:rsidRDefault="00763C1C" w:rsidP="00F41A9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6B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6B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6B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79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6B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116CBE"/>
    <w:rsid w:val="001B0951"/>
    <w:rsid w:val="001D5338"/>
    <w:rsid w:val="001F749F"/>
    <w:rsid w:val="00216C86"/>
    <w:rsid w:val="002A2D42"/>
    <w:rsid w:val="003105DF"/>
    <w:rsid w:val="003B6BCB"/>
    <w:rsid w:val="00466723"/>
    <w:rsid w:val="00567B1B"/>
    <w:rsid w:val="00763C1C"/>
    <w:rsid w:val="009C101A"/>
    <w:rsid w:val="00A90CAD"/>
    <w:rsid w:val="00AA795E"/>
    <w:rsid w:val="00CF710F"/>
    <w:rsid w:val="00D17F97"/>
    <w:rsid w:val="00D23B4D"/>
    <w:rsid w:val="00E86BA1"/>
    <w:rsid w:val="00F26937"/>
    <w:rsid w:val="00F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68A4"/>
  <w15:chartTrackingRefBased/>
  <w15:docId w15:val="{60DD4EA5-F8C1-47AF-9DE2-435E445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1C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63C1C"/>
  </w:style>
  <w:style w:type="paragraph" w:styleId="a5">
    <w:name w:val="footer"/>
    <w:basedOn w:val="a"/>
    <w:link w:val="a6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763C1C"/>
  </w:style>
  <w:style w:type="paragraph" w:styleId="a7">
    <w:name w:val="No Spacing"/>
    <w:uiPriority w:val="1"/>
    <w:qFormat/>
    <w:rsid w:val="00763C1C"/>
    <w:pPr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F41A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D5338"/>
    <w:rPr>
      <w:rFonts w:ascii="Segoe UI" w:hAnsi="Segoe UI" w:cs="Segoe UI"/>
      <w:sz w:val="18"/>
      <w:szCs w:val="18"/>
      <w:lang w:val="en-US"/>
    </w:rPr>
  </w:style>
  <w:style w:type="table" w:styleId="ab">
    <w:name w:val="Table Grid"/>
    <w:basedOn w:val="a1"/>
    <w:uiPriority w:val="39"/>
    <w:rsid w:val="003B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2771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2025-09-04T06:19:00Z</cp:lastPrinted>
  <dcterms:created xsi:type="dcterms:W3CDTF">2025-09-03T09:07:00Z</dcterms:created>
  <dcterms:modified xsi:type="dcterms:W3CDTF">2025-09-04T06:19:00Z</dcterms:modified>
</cp:coreProperties>
</file>