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920C0A" w:rsidRDefault="00920C0A" w:rsidP="00920C0A">
      <w:pPr>
        <w:pStyle w:val="a5"/>
        <w:ind w:firstLine="0"/>
        <w:rPr>
          <w:szCs w:val="28"/>
        </w:rPr>
      </w:pPr>
    </w:p>
    <w:p w:rsidR="00A37AB7" w:rsidRPr="00920C0A" w:rsidRDefault="009C07B0" w:rsidP="00920C0A">
      <w:pPr>
        <w:pStyle w:val="a5"/>
        <w:ind w:left="709" w:right="1133" w:firstLine="0"/>
        <w:rPr>
          <w:szCs w:val="28"/>
        </w:rPr>
      </w:pPr>
      <w:r w:rsidRPr="00920C0A">
        <w:rPr>
          <w:szCs w:val="28"/>
        </w:rPr>
        <w:t xml:space="preserve">про </w:t>
      </w:r>
      <w:r w:rsidR="00126D62" w:rsidRPr="00920C0A">
        <w:rPr>
          <w:szCs w:val="28"/>
        </w:rPr>
        <w:t>відмову у відкритті</w:t>
      </w:r>
      <w:r w:rsidRPr="00920C0A">
        <w:rPr>
          <w:szCs w:val="28"/>
        </w:rPr>
        <w:t xml:space="preserve"> конституційного провадження у справі</w:t>
      </w:r>
      <w:r w:rsidR="001B5B5A" w:rsidRPr="00920C0A">
        <w:rPr>
          <w:szCs w:val="28"/>
        </w:rPr>
        <w:t xml:space="preserve"> </w:t>
      </w:r>
      <w:r w:rsidRPr="00920C0A">
        <w:rPr>
          <w:szCs w:val="28"/>
        </w:rPr>
        <w:t xml:space="preserve">за </w:t>
      </w:r>
      <w:r w:rsidR="00B93D58" w:rsidRPr="00920C0A">
        <w:rPr>
          <w:szCs w:val="28"/>
        </w:rPr>
        <w:t xml:space="preserve">конституційною скаргою </w:t>
      </w:r>
      <w:r w:rsidR="0087283E" w:rsidRPr="00920C0A">
        <w:rPr>
          <w:szCs w:val="28"/>
        </w:rPr>
        <w:t>Плескача В’ячесл</w:t>
      </w:r>
      <w:r w:rsidR="00FF01A0" w:rsidRPr="00920C0A">
        <w:rPr>
          <w:szCs w:val="28"/>
        </w:rPr>
        <w:t xml:space="preserve">ава </w:t>
      </w:r>
      <w:r w:rsidR="0087283E" w:rsidRPr="00920C0A">
        <w:rPr>
          <w:szCs w:val="28"/>
        </w:rPr>
        <w:t>Юрійовича</w:t>
      </w:r>
      <w:r w:rsidR="005F6317" w:rsidRPr="00920C0A">
        <w:rPr>
          <w:szCs w:val="28"/>
        </w:rPr>
        <w:t xml:space="preserve"> </w:t>
      </w:r>
      <w:r w:rsidR="00B93D58" w:rsidRPr="00920C0A">
        <w:rPr>
          <w:szCs w:val="28"/>
        </w:rPr>
        <w:t>щодо відповідн</w:t>
      </w:r>
      <w:r w:rsidR="00546D13" w:rsidRPr="00920C0A">
        <w:rPr>
          <w:szCs w:val="28"/>
        </w:rPr>
        <w:t>о</w:t>
      </w:r>
      <w:r w:rsidR="00B93D58" w:rsidRPr="00920C0A">
        <w:rPr>
          <w:szCs w:val="28"/>
        </w:rPr>
        <w:t>ст</w:t>
      </w:r>
      <w:r w:rsidR="00546D13" w:rsidRPr="00920C0A">
        <w:rPr>
          <w:szCs w:val="28"/>
        </w:rPr>
        <w:t>і</w:t>
      </w:r>
      <w:r w:rsidR="00B93D58" w:rsidRPr="00920C0A">
        <w:rPr>
          <w:szCs w:val="28"/>
        </w:rPr>
        <w:t xml:space="preserve"> Ко</w:t>
      </w:r>
      <w:r w:rsidR="008B48E0" w:rsidRPr="00920C0A">
        <w:rPr>
          <w:szCs w:val="28"/>
        </w:rPr>
        <w:t>нституції України (конституційності</w:t>
      </w:r>
      <w:r w:rsidR="00B93D58" w:rsidRPr="00920C0A">
        <w:rPr>
          <w:szCs w:val="28"/>
        </w:rPr>
        <w:t xml:space="preserve">) </w:t>
      </w:r>
      <w:r w:rsidR="00502C75" w:rsidRPr="00920C0A">
        <w:rPr>
          <w:szCs w:val="28"/>
        </w:rPr>
        <w:t>положен</w:t>
      </w:r>
      <w:r w:rsidR="009F6484" w:rsidRPr="00920C0A">
        <w:rPr>
          <w:szCs w:val="28"/>
        </w:rPr>
        <w:t xml:space="preserve">ь частини другої статті 293, частини першої статті 294, частини першої, абзацу другого частини п’ятої, частини шостої статті 383 </w:t>
      </w:r>
      <w:r w:rsidR="006C0C1C" w:rsidRPr="00920C0A">
        <w:rPr>
          <w:szCs w:val="28"/>
        </w:rPr>
        <w:t xml:space="preserve">Кодексу </w:t>
      </w:r>
      <w:r w:rsidR="00920C0A">
        <w:rPr>
          <w:szCs w:val="28"/>
        </w:rPr>
        <w:br/>
      </w:r>
      <w:r w:rsidR="00920C0A">
        <w:rPr>
          <w:szCs w:val="28"/>
        </w:rPr>
        <w:tab/>
      </w:r>
      <w:r w:rsidR="00862329">
        <w:rPr>
          <w:szCs w:val="28"/>
        </w:rPr>
        <w:t xml:space="preserve">   </w:t>
      </w:r>
      <w:r w:rsidR="006C0C1C" w:rsidRPr="00920C0A">
        <w:rPr>
          <w:szCs w:val="28"/>
        </w:rPr>
        <w:t>адміністративного судочинства України</w:t>
      </w:r>
    </w:p>
    <w:p w:rsidR="00172E0C" w:rsidRDefault="00172E0C" w:rsidP="00920C0A">
      <w:pPr>
        <w:pStyle w:val="a5"/>
        <w:ind w:firstLine="709"/>
        <w:rPr>
          <w:b w:val="0"/>
          <w:szCs w:val="28"/>
        </w:rPr>
      </w:pPr>
    </w:p>
    <w:p w:rsidR="00920C0A" w:rsidRPr="00920C0A" w:rsidRDefault="00920C0A" w:rsidP="00920C0A">
      <w:pPr>
        <w:pStyle w:val="a5"/>
        <w:ind w:firstLine="709"/>
        <w:rPr>
          <w:b w:val="0"/>
          <w:szCs w:val="28"/>
        </w:rPr>
      </w:pPr>
    </w:p>
    <w:p w:rsidR="009C07B0" w:rsidRPr="00920C0A" w:rsidRDefault="00D016BD" w:rsidP="00920C0A">
      <w:pPr>
        <w:pStyle w:val="a5"/>
        <w:ind w:firstLine="0"/>
        <w:rPr>
          <w:b w:val="0"/>
          <w:szCs w:val="28"/>
        </w:rPr>
      </w:pPr>
      <w:r w:rsidRPr="00920C0A">
        <w:rPr>
          <w:b w:val="0"/>
          <w:szCs w:val="28"/>
        </w:rPr>
        <w:t xml:space="preserve">м. К </w:t>
      </w:r>
      <w:r w:rsidR="00F66049" w:rsidRPr="00920C0A">
        <w:rPr>
          <w:b w:val="0"/>
          <w:szCs w:val="28"/>
        </w:rPr>
        <w:t>и</w:t>
      </w:r>
      <w:r w:rsidR="009563C0" w:rsidRPr="00920C0A">
        <w:rPr>
          <w:b w:val="0"/>
          <w:szCs w:val="28"/>
        </w:rPr>
        <w:t xml:space="preserve"> ї в</w:t>
      </w:r>
      <w:r w:rsidR="009563C0" w:rsidRPr="00920C0A">
        <w:rPr>
          <w:b w:val="0"/>
          <w:szCs w:val="28"/>
        </w:rPr>
        <w:tab/>
      </w:r>
      <w:r w:rsidR="009563C0" w:rsidRPr="00920C0A">
        <w:rPr>
          <w:b w:val="0"/>
          <w:szCs w:val="28"/>
        </w:rPr>
        <w:tab/>
      </w:r>
      <w:r w:rsidR="009563C0" w:rsidRPr="00920C0A">
        <w:rPr>
          <w:b w:val="0"/>
          <w:szCs w:val="28"/>
        </w:rPr>
        <w:tab/>
      </w:r>
      <w:r w:rsidR="009563C0" w:rsidRPr="00920C0A">
        <w:rPr>
          <w:b w:val="0"/>
          <w:szCs w:val="28"/>
        </w:rPr>
        <w:tab/>
      </w:r>
      <w:r w:rsidR="009563C0" w:rsidRPr="00920C0A">
        <w:rPr>
          <w:b w:val="0"/>
          <w:szCs w:val="28"/>
        </w:rPr>
        <w:tab/>
      </w:r>
      <w:r w:rsidR="009563C0" w:rsidRPr="00920C0A">
        <w:rPr>
          <w:b w:val="0"/>
          <w:szCs w:val="28"/>
        </w:rPr>
        <w:tab/>
      </w:r>
      <w:r w:rsidR="00862329">
        <w:rPr>
          <w:b w:val="0"/>
          <w:szCs w:val="28"/>
        </w:rPr>
        <w:t xml:space="preserve">  </w:t>
      </w:r>
      <w:r w:rsidR="00FA35CA" w:rsidRPr="00920C0A">
        <w:rPr>
          <w:b w:val="0"/>
          <w:szCs w:val="28"/>
        </w:rPr>
        <w:t xml:space="preserve">Справа </w:t>
      </w:r>
      <w:r w:rsidR="00862329">
        <w:rPr>
          <w:b w:val="0"/>
          <w:szCs w:val="28"/>
        </w:rPr>
        <w:t xml:space="preserve">№ </w:t>
      </w:r>
      <w:r w:rsidR="00FA35CA" w:rsidRPr="00920C0A">
        <w:rPr>
          <w:b w:val="0"/>
          <w:szCs w:val="28"/>
        </w:rPr>
        <w:t>3-</w:t>
      </w:r>
      <w:r w:rsidR="009F6484" w:rsidRPr="00920C0A">
        <w:rPr>
          <w:b w:val="0"/>
          <w:szCs w:val="28"/>
        </w:rPr>
        <w:t>3</w:t>
      </w:r>
      <w:r w:rsidR="00FF01A0" w:rsidRPr="00920C0A">
        <w:rPr>
          <w:b w:val="0"/>
          <w:szCs w:val="28"/>
        </w:rPr>
        <w:t>0</w:t>
      </w:r>
      <w:r w:rsidR="00E50AE3" w:rsidRPr="00920C0A">
        <w:rPr>
          <w:b w:val="0"/>
          <w:szCs w:val="28"/>
        </w:rPr>
        <w:t>/20</w:t>
      </w:r>
      <w:r w:rsidR="00A03161" w:rsidRPr="00920C0A">
        <w:rPr>
          <w:b w:val="0"/>
          <w:szCs w:val="28"/>
        </w:rPr>
        <w:t>2</w:t>
      </w:r>
      <w:r w:rsidR="009F6484" w:rsidRPr="00920C0A">
        <w:rPr>
          <w:b w:val="0"/>
          <w:szCs w:val="28"/>
        </w:rPr>
        <w:t>2</w:t>
      </w:r>
      <w:r w:rsidRPr="00920C0A">
        <w:rPr>
          <w:b w:val="0"/>
          <w:szCs w:val="28"/>
        </w:rPr>
        <w:t>(</w:t>
      </w:r>
      <w:r w:rsidR="009F6484" w:rsidRPr="00920C0A">
        <w:rPr>
          <w:b w:val="0"/>
          <w:szCs w:val="28"/>
        </w:rPr>
        <w:t>60</w:t>
      </w:r>
      <w:r w:rsidRPr="00920C0A">
        <w:rPr>
          <w:b w:val="0"/>
          <w:szCs w:val="28"/>
        </w:rPr>
        <w:t>/</w:t>
      </w:r>
      <w:r w:rsidR="00A03161" w:rsidRPr="00920C0A">
        <w:rPr>
          <w:b w:val="0"/>
          <w:szCs w:val="28"/>
        </w:rPr>
        <w:t>2</w:t>
      </w:r>
      <w:r w:rsidR="009F6484" w:rsidRPr="00920C0A">
        <w:rPr>
          <w:b w:val="0"/>
          <w:szCs w:val="28"/>
        </w:rPr>
        <w:t>2</w:t>
      </w:r>
      <w:r w:rsidRPr="00920C0A">
        <w:rPr>
          <w:b w:val="0"/>
          <w:szCs w:val="28"/>
        </w:rPr>
        <w:t>)</w:t>
      </w:r>
    </w:p>
    <w:p w:rsidR="009C07B0" w:rsidRPr="00920C0A" w:rsidRDefault="003A6FBE" w:rsidP="00920C0A">
      <w:pPr>
        <w:pStyle w:val="a5"/>
        <w:ind w:firstLine="0"/>
        <w:rPr>
          <w:b w:val="0"/>
          <w:szCs w:val="28"/>
        </w:rPr>
      </w:pPr>
      <w:r w:rsidRPr="00920C0A">
        <w:rPr>
          <w:b w:val="0"/>
          <w:szCs w:val="28"/>
        </w:rPr>
        <w:t>5 жовтн</w:t>
      </w:r>
      <w:r w:rsidR="009149F4" w:rsidRPr="00920C0A">
        <w:rPr>
          <w:b w:val="0"/>
          <w:szCs w:val="28"/>
        </w:rPr>
        <w:t>я</w:t>
      </w:r>
      <w:r w:rsidR="00283EB5" w:rsidRPr="00920C0A">
        <w:rPr>
          <w:b w:val="0"/>
          <w:szCs w:val="28"/>
        </w:rPr>
        <w:t xml:space="preserve"> </w:t>
      </w:r>
      <w:r w:rsidR="00D016BD" w:rsidRPr="00920C0A">
        <w:rPr>
          <w:b w:val="0"/>
          <w:szCs w:val="28"/>
        </w:rPr>
        <w:t>20</w:t>
      </w:r>
      <w:r w:rsidR="005F6317" w:rsidRPr="00920C0A">
        <w:rPr>
          <w:b w:val="0"/>
          <w:szCs w:val="28"/>
        </w:rPr>
        <w:t>2</w:t>
      </w:r>
      <w:r w:rsidR="00861527" w:rsidRPr="00920C0A">
        <w:rPr>
          <w:b w:val="0"/>
          <w:szCs w:val="28"/>
        </w:rPr>
        <w:t>2</w:t>
      </w:r>
      <w:r w:rsidR="00D016BD" w:rsidRPr="00920C0A">
        <w:rPr>
          <w:b w:val="0"/>
          <w:szCs w:val="28"/>
        </w:rPr>
        <w:t xml:space="preserve"> року</w:t>
      </w:r>
    </w:p>
    <w:p w:rsidR="00D016BD" w:rsidRPr="00920C0A" w:rsidRDefault="00862329" w:rsidP="00920C0A">
      <w:pPr>
        <w:pStyle w:val="a5"/>
        <w:ind w:firstLine="0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№ </w:t>
      </w:r>
      <w:bookmarkStart w:id="0" w:name="_GoBack"/>
      <w:r w:rsidR="003A6FBE" w:rsidRPr="00920C0A">
        <w:rPr>
          <w:b w:val="0"/>
          <w:szCs w:val="28"/>
        </w:rPr>
        <w:t>111</w:t>
      </w:r>
      <w:r w:rsidR="00FA35CA" w:rsidRPr="00920C0A">
        <w:rPr>
          <w:b w:val="0"/>
          <w:szCs w:val="28"/>
        </w:rPr>
        <w:t>-</w:t>
      </w:r>
      <w:r w:rsidR="0028402F" w:rsidRPr="00920C0A">
        <w:rPr>
          <w:b w:val="0"/>
          <w:szCs w:val="28"/>
        </w:rPr>
        <w:t>3</w:t>
      </w:r>
      <w:r w:rsidR="00861527" w:rsidRPr="00920C0A">
        <w:rPr>
          <w:b w:val="0"/>
          <w:szCs w:val="28"/>
        </w:rPr>
        <w:t>(І)</w:t>
      </w:r>
      <w:bookmarkEnd w:id="0"/>
      <w:r w:rsidR="00861527" w:rsidRPr="00920C0A">
        <w:rPr>
          <w:b w:val="0"/>
          <w:szCs w:val="28"/>
        </w:rPr>
        <w:t>/2022</w:t>
      </w:r>
    </w:p>
    <w:p w:rsidR="00172E0C" w:rsidRDefault="00172E0C" w:rsidP="00920C0A">
      <w:pPr>
        <w:pStyle w:val="a5"/>
        <w:ind w:firstLine="709"/>
        <w:rPr>
          <w:b w:val="0"/>
          <w:szCs w:val="28"/>
        </w:rPr>
      </w:pPr>
    </w:p>
    <w:p w:rsidR="00920C0A" w:rsidRPr="00920C0A" w:rsidRDefault="00920C0A" w:rsidP="00920C0A">
      <w:pPr>
        <w:pStyle w:val="a5"/>
        <w:ind w:firstLine="709"/>
        <w:rPr>
          <w:b w:val="0"/>
          <w:szCs w:val="28"/>
        </w:rPr>
      </w:pPr>
    </w:p>
    <w:p w:rsidR="009C07B0" w:rsidRPr="00920C0A" w:rsidRDefault="00B54859" w:rsidP="00920C0A">
      <w:pPr>
        <w:pStyle w:val="a5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>Третя</w:t>
      </w:r>
      <w:r w:rsidR="00245588" w:rsidRPr="00920C0A">
        <w:rPr>
          <w:b w:val="0"/>
          <w:szCs w:val="28"/>
        </w:rPr>
        <w:t xml:space="preserve"> к</w:t>
      </w:r>
      <w:r w:rsidR="009C07B0" w:rsidRPr="00920C0A">
        <w:rPr>
          <w:b w:val="0"/>
          <w:szCs w:val="28"/>
        </w:rPr>
        <w:t>олегія</w:t>
      </w:r>
      <w:r w:rsidR="00117C76" w:rsidRPr="00920C0A">
        <w:rPr>
          <w:b w:val="0"/>
          <w:szCs w:val="28"/>
        </w:rPr>
        <w:t xml:space="preserve"> суддів</w:t>
      </w:r>
      <w:r w:rsidR="009C07B0" w:rsidRPr="00920C0A">
        <w:rPr>
          <w:b w:val="0"/>
          <w:szCs w:val="28"/>
        </w:rPr>
        <w:t xml:space="preserve"> </w:t>
      </w:r>
      <w:r w:rsidRPr="00920C0A">
        <w:rPr>
          <w:b w:val="0"/>
          <w:szCs w:val="28"/>
        </w:rPr>
        <w:t>Першого</w:t>
      </w:r>
      <w:r w:rsidR="00245588" w:rsidRPr="00920C0A">
        <w:rPr>
          <w:b w:val="0"/>
          <w:szCs w:val="28"/>
        </w:rPr>
        <w:t xml:space="preserve"> сенату </w:t>
      </w:r>
      <w:r w:rsidR="009C07B0" w:rsidRPr="00920C0A">
        <w:rPr>
          <w:b w:val="0"/>
          <w:szCs w:val="28"/>
        </w:rPr>
        <w:t>Конституційного Суду України у складі:</w:t>
      </w:r>
    </w:p>
    <w:p w:rsidR="00172E0C" w:rsidRPr="00920C0A" w:rsidRDefault="00172E0C" w:rsidP="00920C0A">
      <w:pPr>
        <w:pStyle w:val="a5"/>
        <w:ind w:firstLine="709"/>
        <w:rPr>
          <w:b w:val="0"/>
          <w:szCs w:val="28"/>
        </w:rPr>
      </w:pPr>
    </w:p>
    <w:p w:rsidR="009C07B0" w:rsidRPr="00920C0A" w:rsidRDefault="000668C0" w:rsidP="00920C0A">
      <w:pPr>
        <w:ind w:firstLine="709"/>
        <w:jc w:val="both"/>
        <w:rPr>
          <w:sz w:val="28"/>
          <w:szCs w:val="28"/>
          <w:lang w:val="uk-UA"/>
        </w:rPr>
      </w:pPr>
      <w:r w:rsidRPr="00920C0A">
        <w:rPr>
          <w:sz w:val="28"/>
          <w:szCs w:val="28"/>
          <w:lang w:val="uk-UA"/>
        </w:rPr>
        <w:t xml:space="preserve">Кривенко Віктор Васильович </w:t>
      </w:r>
      <w:r w:rsidR="004A40DC" w:rsidRPr="00920C0A">
        <w:rPr>
          <w:sz w:val="28"/>
          <w:szCs w:val="28"/>
          <w:lang w:val="uk-UA"/>
        </w:rPr>
        <w:t>(</w:t>
      </w:r>
      <w:r w:rsidR="00117C76" w:rsidRPr="00920C0A">
        <w:rPr>
          <w:sz w:val="28"/>
          <w:szCs w:val="28"/>
          <w:lang w:val="uk-UA"/>
        </w:rPr>
        <w:t>голов</w:t>
      </w:r>
      <w:r w:rsidR="004A40DC" w:rsidRPr="00920C0A">
        <w:rPr>
          <w:sz w:val="28"/>
          <w:szCs w:val="28"/>
          <w:lang w:val="uk-UA"/>
        </w:rPr>
        <w:t>а засідання</w:t>
      </w:r>
      <w:r w:rsidRPr="00920C0A">
        <w:rPr>
          <w:sz w:val="28"/>
          <w:szCs w:val="28"/>
          <w:lang w:val="uk-UA"/>
        </w:rPr>
        <w:t>, доповідач</w:t>
      </w:r>
      <w:r w:rsidR="004A40DC" w:rsidRPr="00920C0A">
        <w:rPr>
          <w:sz w:val="28"/>
          <w:szCs w:val="28"/>
          <w:lang w:val="uk-UA"/>
        </w:rPr>
        <w:t>)</w:t>
      </w:r>
      <w:r w:rsidR="00835FDC" w:rsidRPr="00920C0A">
        <w:rPr>
          <w:sz w:val="28"/>
          <w:szCs w:val="28"/>
          <w:lang w:val="uk-UA"/>
        </w:rPr>
        <w:t>,</w:t>
      </w:r>
    </w:p>
    <w:p w:rsidR="009C07B0" w:rsidRPr="00920C0A" w:rsidRDefault="009C07B0" w:rsidP="00920C0A">
      <w:pPr>
        <w:ind w:firstLine="709"/>
        <w:jc w:val="both"/>
        <w:rPr>
          <w:sz w:val="28"/>
          <w:szCs w:val="28"/>
          <w:lang w:val="uk-UA"/>
        </w:rPr>
      </w:pPr>
      <w:r w:rsidRPr="00920C0A">
        <w:rPr>
          <w:sz w:val="28"/>
          <w:szCs w:val="28"/>
          <w:lang w:val="uk-UA"/>
        </w:rPr>
        <w:t>За</w:t>
      </w:r>
      <w:r w:rsidR="004A40DC" w:rsidRPr="00920C0A">
        <w:rPr>
          <w:sz w:val="28"/>
          <w:szCs w:val="28"/>
          <w:lang w:val="uk-UA"/>
        </w:rPr>
        <w:t>вгородня</w:t>
      </w:r>
      <w:r w:rsidRPr="00920C0A">
        <w:rPr>
          <w:sz w:val="28"/>
          <w:szCs w:val="28"/>
          <w:lang w:val="uk-UA"/>
        </w:rPr>
        <w:t xml:space="preserve"> </w:t>
      </w:r>
      <w:r w:rsidR="00B54859" w:rsidRPr="00920C0A">
        <w:rPr>
          <w:sz w:val="28"/>
          <w:szCs w:val="28"/>
          <w:lang w:val="uk-UA"/>
        </w:rPr>
        <w:t>Ірин</w:t>
      </w:r>
      <w:r w:rsidR="004A40DC" w:rsidRPr="00920C0A">
        <w:rPr>
          <w:sz w:val="28"/>
          <w:szCs w:val="28"/>
          <w:lang w:val="uk-UA"/>
        </w:rPr>
        <w:t>а</w:t>
      </w:r>
      <w:r w:rsidRPr="00920C0A">
        <w:rPr>
          <w:sz w:val="28"/>
          <w:szCs w:val="28"/>
          <w:lang w:val="uk-UA"/>
        </w:rPr>
        <w:t xml:space="preserve"> </w:t>
      </w:r>
      <w:r w:rsidR="00B54859" w:rsidRPr="00920C0A">
        <w:rPr>
          <w:sz w:val="28"/>
          <w:szCs w:val="28"/>
          <w:lang w:val="uk-UA"/>
        </w:rPr>
        <w:t>Миколаївн</w:t>
      </w:r>
      <w:r w:rsidR="004A40DC" w:rsidRPr="00920C0A">
        <w:rPr>
          <w:sz w:val="28"/>
          <w:szCs w:val="28"/>
          <w:lang w:val="uk-UA"/>
        </w:rPr>
        <w:t>а</w:t>
      </w:r>
      <w:r w:rsidRPr="00920C0A">
        <w:rPr>
          <w:sz w:val="28"/>
          <w:szCs w:val="28"/>
          <w:lang w:val="uk-UA"/>
        </w:rPr>
        <w:t>,</w:t>
      </w:r>
    </w:p>
    <w:p w:rsidR="009C07B0" w:rsidRPr="00920C0A" w:rsidRDefault="00BC3D3C" w:rsidP="00920C0A">
      <w:pPr>
        <w:ind w:firstLine="709"/>
        <w:jc w:val="both"/>
        <w:rPr>
          <w:sz w:val="28"/>
          <w:szCs w:val="28"/>
          <w:lang w:val="uk-UA"/>
        </w:rPr>
      </w:pPr>
      <w:r w:rsidRPr="00920C0A">
        <w:rPr>
          <w:sz w:val="28"/>
          <w:szCs w:val="28"/>
          <w:lang w:val="uk-UA"/>
        </w:rPr>
        <w:t>Петришин Олександр Віталійович</w:t>
      </w:r>
      <w:r w:rsidR="000C416E" w:rsidRPr="00920C0A">
        <w:rPr>
          <w:sz w:val="28"/>
          <w:szCs w:val="28"/>
          <w:lang w:val="uk-UA"/>
        </w:rPr>
        <w:t>,</w:t>
      </w:r>
    </w:p>
    <w:p w:rsidR="009C07B0" w:rsidRPr="00920C0A" w:rsidRDefault="009C07B0" w:rsidP="00920C0A">
      <w:pPr>
        <w:pStyle w:val="a5"/>
        <w:ind w:firstLine="709"/>
        <w:rPr>
          <w:b w:val="0"/>
          <w:szCs w:val="28"/>
        </w:rPr>
      </w:pPr>
    </w:p>
    <w:p w:rsidR="00337CF2" w:rsidRPr="00920C0A" w:rsidRDefault="00FF36EF" w:rsidP="00920C0A">
      <w:pPr>
        <w:pStyle w:val="a5"/>
        <w:spacing w:line="360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>розглянула на засіданні</w:t>
      </w:r>
      <w:r w:rsidR="000C416E" w:rsidRPr="00920C0A">
        <w:rPr>
          <w:b w:val="0"/>
          <w:szCs w:val="28"/>
        </w:rPr>
        <w:t xml:space="preserve"> </w:t>
      </w:r>
      <w:r w:rsidR="009C07B0" w:rsidRPr="00920C0A">
        <w:rPr>
          <w:b w:val="0"/>
          <w:szCs w:val="28"/>
        </w:rPr>
        <w:t xml:space="preserve">питання </w:t>
      </w:r>
      <w:r w:rsidR="008F13D5" w:rsidRPr="00920C0A">
        <w:rPr>
          <w:b w:val="0"/>
          <w:szCs w:val="28"/>
        </w:rPr>
        <w:t>пр</w:t>
      </w:r>
      <w:r w:rsidR="009C07B0" w:rsidRPr="00920C0A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920C0A">
        <w:rPr>
          <w:b w:val="0"/>
          <w:szCs w:val="28"/>
        </w:rPr>
        <w:t>ою скаргою</w:t>
      </w:r>
      <w:r w:rsidR="0033052A" w:rsidRPr="00920C0A">
        <w:rPr>
          <w:b w:val="0"/>
          <w:szCs w:val="28"/>
        </w:rPr>
        <w:t xml:space="preserve"> </w:t>
      </w:r>
      <w:r w:rsidR="006C0C1C" w:rsidRPr="00920C0A">
        <w:rPr>
          <w:b w:val="0"/>
          <w:szCs w:val="28"/>
        </w:rPr>
        <w:t>Плескача В’ячеслава Юрійовича</w:t>
      </w:r>
      <w:r w:rsidR="00D71470" w:rsidRPr="00920C0A">
        <w:rPr>
          <w:b w:val="0"/>
          <w:szCs w:val="28"/>
        </w:rPr>
        <w:t xml:space="preserve"> </w:t>
      </w:r>
      <w:r w:rsidR="00480A65" w:rsidRPr="00920C0A">
        <w:rPr>
          <w:b w:val="0"/>
          <w:szCs w:val="28"/>
        </w:rPr>
        <w:t xml:space="preserve">щодо відповідності </w:t>
      </w:r>
      <w:r w:rsidR="003C4728" w:rsidRPr="00920C0A">
        <w:rPr>
          <w:b w:val="0"/>
          <w:szCs w:val="28"/>
        </w:rPr>
        <w:t>Конс</w:t>
      </w:r>
      <w:r w:rsidR="005A47DE" w:rsidRPr="00920C0A">
        <w:rPr>
          <w:b w:val="0"/>
          <w:szCs w:val="28"/>
        </w:rPr>
        <w:t>т</w:t>
      </w:r>
      <w:r w:rsidR="001D4DAF" w:rsidRPr="00920C0A">
        <w:rPr>
          <w:b w:val="0"/>
          <w:szCs w:val="28"/>
        </w:rPr>
        <w:t>итуції України (конституційно</w:t>
      </w:r>
      <w:r w:rsidR="005A47DE" w:rsidRPr="00920C0A">
        <w:rPr>
          <w:b w:val="0"/>
          <w:szCs w:val="28"/>
        </w:rPr>
        <w:t>ст</w:t>
      </w:r>
      <w:r w:rsidR="001D4DAF" w:rsidRPr="00920C0A">
        <w:rPr>
          <w:b w:val="0"/>
          <w:szCs w:val="28"/>
        </w:rPr>
        <w:t>і</w:t>
      </w:r>
      <w:r w:rsidR="005A47DE" w:rsidRPr="00920C0A">
        <w:rPr>
          <w:b w:val="0"/>
          <w:szCs w:val="28"/>
        </w:rPr>
        <w:t xml:space="preserve">) </w:t>
      </w:r>
      <w:r w:rsidR="006C0C1C" w:rsidRPr="00920C0A">
        <w:rPr>
          <w:b w:val="0"/>
          <w:szCs w:val="28"/>
        </w:rPr>
        <w:t>положень</w:t>
      </w:r>
      <w:r w:rsidR="00337CF2" w:rsidRPr="00920C0A">
        <w:rPr>
          <w:b w:val="0"/>
          <w:szCs w:val="28"/>
        </w:rPr>
        <w:t xml:space="preserve"> </w:t>
      </w:r>
      <w:r w:rsidR="006C0C1C" w:rsidRPr="00920C0A">
        <w:rPr>
          <w:b w:val="0"/>
          <w:szCs w:val="28"/>
        </w:rPr>
        <w:t>частини другої статті 293, частини першої статті 294, частини першої, абзацу другого частини п’ятої, частини шостої статті 383 Кодексу адміністративного судочинства України</w:t>
      </w:r>
      <w:r w:rsidR="00337CF2" w:rsidRPr="00920C0A">
        <w:rPr>
          <w:b w:val="0"/>
          <w:szCs w:val="28"/>
        </w:rPr>
        <w:t>.</w:t>
      </w:r>
    </w:p>
    <w:p w:rsidR="006C3365" w:rsidRPr="00920C0A" w:rsidRDefault="006C3365" w:rsidP="00920C0A">
      <w:pPr>
        <w:pStyle w:val="a5"/>
        <w:spacing w:line="360" w:lineRule="auto"/>
        <w:ind w:firstLine="709"/>
        <w:rPr>
          <w:b w:val="0"/>
          <w:szCs w:val="28"/>
        </w:rPr>
      </w:pPr>
    </w:p>
    <w:p w:rsidR="00857607" w:rsidRPr="00920C0A" w:rsidRDefault="00857607" w:rsidP="00920C0A">
      <w:pPr>
        <w:pStyle w:val="a5"/>
        <w:spacing w:line="360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 xml:space="preserve">Заслухавши суддю-доповідача </w:t>
      </w:r>
      <w:r w:rsidR="00DE5DAC" w:rsidRPr="00920C0A">
        <w:rPr>
          <w:b w:val="0"/>
          <w:szCs w:val="28"/>
        </w:rPr>
        <w:t xml:space="preserve">Кривенка В.В. </w:t>
      </w:r>
      <w:r w:rsidRPr="00920C0A">
        <w:rPr>
          <w:b w:val="0"/>
          <w:szCs w:val="28"/>
        </w:rPr>
        <w:t xml:space="preserve">та дослідивши матеріали справи, </w:t>
      </w:r>
      <w:r w:rsidR="00B54859" w:rsidRPr="00920C0A">
        <w:rPr>
          <w:b w:val="0"/>
          <w:szCs w:val="28"/>
        </w:rPr>
        <w:t>Третя</w:t>
      </w:r>
      <w:r w:rsidR="00245588" w:rsidRPr="00920C0A">
        <w:rPr>
          <w:b w:val="0"/>
          <w:szCs w:val="28"/>
        </w:rPr>
        <w:t xml:space="preserve"> к</w:t>
      </w:r>
      <w:r w:rsidRPr="00920C0A">
        <w:rPr>
          <w:b w:val="0"/>
          <w:szCs w:val="28"/>
        </w:rPr>
        <w:t xml:space="preserve">олегія </w:t>
      </w:r>
      <w:r w:rsidR="009B193D" w:rsidRPr="00920C0A">
        <w:rPr>
          <w:b w:val="0"/>
          <w:szCs w:val="28"/>
        </w:rPr>
        <w:t xml:space="preserve">суддів </w:t>
      </w:r>
      <w:r w:rsidR="00B54859" w:rsidRPr="00920C0A">
        <w:rPr>
          <w:b w:val="0"/>
          <w:szCs w:val="28"/>
        </w:rPr>
        <w:t>Першого</w:t>
      </w:r>
      <w:r w:rsidR="00245588" w:rsidRPr="00920C0A">
        <w:rPr>
          <w:b w:val="0"/>
          <w:szCs w:val="28"/>
        </w:rPr>
        <w:t xml:space="preserve"> сенату </w:t>
      </w:r>
      <w:r w:rsidRPr="00920C0A">
        <w:rPr>
          <w:b w:val="0"/>
          <w:szCs w:val="28"/>
        </w:rPr>
        <w:t>Конституційного Суду України</w:t>
      </w:r>
    </w:p>
    <w:p w:rsidR="009C07B0" w:rsidRPr="00920C0A" w:rsidRDefault="009C07B0" w:rsidP="005A6197">
      <w:pPr>
        <w:spacing w:line="348" w:lineRule="auto"/>
        <w:jc w:val="center"/>
        <w:rPr>
          <w:b/>
          <w:sz w:val="28"/>
          <w:szCs w:val="28"/>
          <w:lang w:val="uk-UA"/>
        </w:rPr>
      </w:pPr>
      <w:r w:rsidRPr="00920C0A">
        <w:rPr>
          <w:b/>
          <w:sz w:val="28"/>
          <w:szCs w:val="28"/>
          <w:lang w:val="uk-UA"/>
        </w:rPr>
        <w:lastRenderedPageBreak/>
        <w:t>у с т а н о в и л а:</w:t>
      </w:r>
    </w:p>
    <w:p w:rsidR="009C07B0" w:rsidRPr="00920C0A" w:rsidRDefault="009C07B0" w:rsidP="005A6197">
      <w:pPr>
        <w:pStyle w:val="a5"/>
        <w:spacing w:line="348" w:lineRule="auto"/>
        <w:ind w:firstLine="709"/>
        <w:rPr>
          <w:b w:val="0"/>
          <w:szCs w:val="28"/>
        </w:rPr>
      </w:pPr>
    </w:p>
    <w:p w:rsidR="006C0C1C" w:rsidRPr="00920C0A" w:rsidRDefault="009C07B0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 xml:space="preserve">1. </w:t>
      </w:r>
      <w:r w:rsidR="0064085E" w:rsidRPr="00920C0A">
        <w:rPr>
          <w:b w:val="0"/>
          <w:szCs w:val="28"/>
        </w:rPr>
        <w:t>Д</w:t>
      </w:r>
      <w:r w:rsidR="005A47DE" w:rsidRPr="00920C0A">
        <w:rPr>
          <w:b w:val="0"/>
          <w:szCs w:val="28"/>
        </w:rPr>
        <w:t xml:space="preserve">о Конституційного Суду України </w:t>
      </w:r>
      <w:r w:rsidR="0064085E" w:rsidRPr="00920C0A">
        <w:rPr>
          <w:b w:val="0"/>
          <w:szCs w:val="28"/>
        </w:rPr>
        <w:t xml:space="preserve">звернувся </w:t>
      </w:r>
      <w:r w:rsidR="006C0C1C" w:rsidRPr="00920C0A">
        <w:rPr>
          <w:b w:val="0"/>
          <w:szCs w:val="28"/>
        </w:rPr>
        <w:t>Плескач В.Ю.</w:t>
      </w:r>
      <w:r w:rsidR="0064085E" w:rsidRPr="00920C0A">
        <w:rPr>
          <w:b w:val="0"/>
          <w:szCs w:val="28"/>
        </w:rPr>
        <w:t xml:space="preserve"> </w:t>
      </w:r>
      <w:r w:rsidR="005A47DE" w:rsidRPr="00920C0A">
        <w:rPr>
          <w:b w:val="0"/>
          <w:szCs w:val="28"/>
        </w:rPr>
        <w:t xml:space="preserve">з клопотанням </w:t>
      </w:r>
      <w:r w:rsidR="00C40FFF" w:rsidRPr="00920C0A">
        <w:rPr>
          <w:b w:val="0"/>
          <w:szCs w:val="28"/>
        </w:rPr>
        <w:t>перевірити на відповідність</w:t>
      </w:r>
      <w:r w:rsidR="0064085E" w:rsidRPr="00920C0A">
        <w:rPr>
          <w:b w:val="0"/>
          <w:szCs w:val="28"/>
        </w:rPr>
        <w:t xml:space="preserve"> </w:t>
      </w:r>
      <w:r w:rsidR="004360B1" w:rsidRPr="00920C0A">
        <w:rPr>
          <w:b w:val="0"/>
          <w:szCs w:val="28"/>
        </w:rPr>
        <w:t>Кон</w:t>
      </w:r>
      <w:r w:rsidR="00513DE2" w:rsidRPr="00920C0A">
        <w:rPr>
          <w:b w:val="0"/>
          <w:szCs w:val="28"/>
        </w:rPr>
        <w:t xml:space="preserve">ституції України </w:t>
      </w:r>
      <w:r w:rsidR="003F51DC" w:rsidRPr="00920C0A">
        <w:rPr>
          <w:b w:val="0"/>
          <w:szCs w:val="28"/>
        </w:rPr>
        <w:t>(конституційн</w:t>
      </w:r>
      <w:r w:rsidR="00C40FFF" w:rsidRPr="00920C0A">
        <w:rPr>
          <w:b w:val="0"/>
          <w:szCs w:val="28"/>
        </w:rPr>
        <w:t>ість</w:t>
      </w:r>
      <w:r w:rsidR="003F51DC" w:rsidRPr="00920C0A">
        <w:rPr>
          <w:b w:val="0"/>
          <w:szCs w:val="28"/>
        </w:rPr>
        <w:t>)</w:t>
      </w:r>
      <w:r w:rsidR="000D2182" w:rsidRPr="00920C0A">
        <w:rPr>
          <w:b w:val="0"/>
          <w:szCs w:val="28"/>
        </w:rPr>
        <w:t xml:space="preserve"> </w:t>
      </w:r>
      <w:r w:rsidR="00EC36DB" w:rsidRPr="00920C0A">
        <w:rPr>
          <w:b w:val="0"/>
          <w:szCs w:val="28"/>
        </w:rPr>
        <w:t>положен</w:t>
      </w:r>
      <w:r w:rsidR="00EA1C9F" w:rsidRPr="00920C0A">
        <w:rPr>
          <w:b w:val="0"/>
          <w:szCs w:val="28"/>
        </w:rPr>
        <w:t>ня</w:t>
      </w:r>
      <w:r w:rsidR="00F14143" w:rsidRPr="00920C0A">
        <w:rPr>
          <w:b w:val="0"/>
          <w:szCs w:val="28"/>
        </w:rPr>
        <w:t xml:space="preserve"> </w:t>
      </w:r>
      <w:r w:rsidR="006C0C1C" w:rsidRPr="00920C0A">
        <w:rPr>
          <w:b w:val="0"/>
          <w:szCs w:val="28"/>
        </w:rPr>
        <w:t>частини др</w:t>
      </w:r>
      <w:r w:rsidR="00920C0A">
        <w:rPr>
          <w:b w:val="0"/>
          <w:szCs w:val="28"/>
        </w:rPr>
        <w:t>угої статті 293, частини першої</w:t>
      </w:r>
      <w:r w:rsidR="00920C0A">
        <w:rPr>
          <w:b w:val="0"/>
          <w:szCs w:val="28"/>
        </w:rPr>
        <w:br/>
      </w:r>
      <w:r w:rsidR="006C0C1C" w:rsidRPr="00920C0A">
        <w:rPr>
          <w:b w:val="0"/>
          <w:szCs w:val="28"/>
        </w:rPr>
        <w:t>статті 294, частини першої, абзацу другого</w:t>
      </w:r>
      <w:r w:rsidR="00920C0A">
        <w:rPr>
          <w:b w:val="0"/>
          <w:szCs w:val="28"/>
        </w:rPr>
        <w:t xml:space="preserve"> частини п’ятої, частини шостої</w:t>
      </w:r>
      <w:r w:rsidR="00920C0A">
        <w:rPr>
          <w:b w:val="0"/>
          <w:szCs w:val="28"/>
        </w:rPr>
        <w:br/>
      </w:r>
      <w:r w:rsidR="006C0C1C" w:rsidRPr="00920C0A">
        <w:rPr>
          <w:b w:val="0"/>
          <w:szCs w:val="28"/>
        </w:rPr>
        <w:t>статті 383 Кодексу адміністративного судочинства України (далі – Кодекс</w:t>
      </w:r>
      <w:r w:rsidR="004B78F7" w:rsidRPr="00920C0A">
        <w:rPr>
          <w:b w:val="0"/>
          <w:szCs w:val="28"/>
        </w:rPr>
        <w:t>)</w:t>
      </w:r>
      <w:r w:rsidR="00824200" w:rsidRPr="00920C0A">
        <w:rPr>
          <w:b w:val="0"/>
          <w:szCs w:val="28"/>
        </w:rPr>
        <w:t xml:space="preserve"> в </w:t>
      </w:r>
      <w:r w:rsidR="006C0C1C" w:rsidRPr="00920C0A">
        <w:rPr>
          <w:b w:val="0"/>
          <w:szCs w:val="28"/>
        </w:rPr>
        <w:t>частині заборони на апеляційне</w:t>
      </w:r>
      <w:r w:rsidR="00A23306" w:rsidRPr="00920C0A">
        <w:rPr>
          <w:b w:val="0"/>
          <w:szCs w:val="28"/>
        </w:rPr>
        <w:t xml:space="preserve"> оскарження ухвали про відмову в</w:t>
      </w:r>
      <w:r w:rsidR="006C0C1C" w:rsidRPr="00920C0A">
        <w:rPr>
          <w:b w:val="0"/>
          <w:szCs w:val="28"/>
        </w:rPr>
        <w:t xml:space="preserve"> задоволенні заяви, поданої в порядку статті 383 К</w:t>
      </w:r>
      <w:r w:rsidR="00405B5F" w:rsidRPr="00920C0A">
        <w:rPr>
          <w:b w:val="0"/>
          <w:szCs w:val="28"/>
        </w:rPr>
        <w:t>од</w:t>
      </w:r>
      <w:r w:rsidR="006C0C1C" w:rsidRPr="00920C0A">
        <w:rPr>
          <w:b w:val="0"/>
          <w:szCs w:val="28"/>
        </w:rPr>
        <w:t>ексу.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>Відповідно до оспорюваних положень Кодексу:</w:t>
      </w:r>
    </w:p>
    <w:p w:rsidR="001273AB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 xml:space="preserve">– учасники справи, особи, які не брали участі у справі, якщо суд вирішив питання про їхні права, свободи, інтереси та (або) обов’язки, мають право оскаржити в апеляційному порядку ухвали суду першої інстанції окремо від рішення суду лише у випадках, передбачених </w:t>
      </w:r>
      <w:hyperlink r:id="rId8" w:anchor="n11874" w:history="1">
        <w:r w:rsidRPr="00920C0A">
          <w:rPr>
            <w:b w:val="0"/>
            <w:szCs w:val="28"/>
          </w:rPr>
          <w:t>статтею 294</w:t>
        </w:r>
      </w:hyperlink>
      <w:r w:rsidRPr="00920C0A">
        <w:rPr>
          <w:b w:val="0"/>
          <w:szCs w:val="28"/>
        </w:rPr>
        <w:t xml:space="preserve"> Кодексу. Оскарження ухвал суду, які не передбачені статт</w:t>
      </w:r>
      <w:r w:rsidR="00F75A4C" w:rsidRPr="00920C0A">
        <w:rPr>
          <w:b w:val="0"/>
          <w:szCs w:val="28"/>
        </w:rPr>
        <w:t>ею 294</w:t>
      </w:r>
      <w:r w:rsidRPr="00920C0A">
        <w:rPr>
          <w:b w:val="0"/>
          <w:szCs w:val="28"/>
        </w:rPr>
        <w:t xml:space="preserve"> Кодексу, окремо від рішення суду не допускається (частина друга статті 293);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>– окремо від рішення суду можуть бути оскаржені в апеляційному порядку ухвали суду першої інстанції щодо: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" w:name="n11876"/>
      <w:bookmarkEnd w:id="1"/>
      <w:r w:rsidRPr="00920C0A">
        <w:rPr>
          <w:b w:val="0"/>
          <w:szCs w:val="28"/>
        </w:rPr>
        <w:t>1) забезпечення доказів, відмови в забезпеченні доказів, скасування ухвали про забезпечення доказів;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" w:name="n11877"/>
      <w:bookmarkEnd w:id="2"/>
      <w:r w:rsidRPr="00920C0A">
        <w:rPr>
          <w:b w:val="0"/>
          <w:szCs w:val="28"/>
        </w:rPr>
        <w:t>2) забезпечення позову, заміни заходу забезпечення позову, скасування забезпечення позову, відмови у забезпеченні позову, відмови у заміні заходу забезпечення позову або скасуванні забезпечення позову;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3" w:name="n11878"/>
      <w:bookmarkEnd w:id="3"/>
      <w:r w:rsidRPr="00920C0A">
        <w:rPr>
          <w:b w:val="0"/>
          <w:szCs w:val="28"/>
        </w:rPr>
        <w:t>3) повернення заяви позивачеві (заявникові);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4" w:name="n11879"/>
      <w:bookmarkEnd w:id="4"/>
      <w:r w:rsidRPr="00920C0A">
        <w:rPr>
          <w:b w:val="0"/>
          <w:szCs w:val="28"/>
        </w:rPr>
        <w:t>4) відмови у відкритті провадження у справі;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5" w:name="n11880"/>
      <w:bookmarkStart w:id="6" w:name="n11881"/>
      <w:bookmarkEnd w:id="5"/>
      <w:bookmarkEnd w:id="6"/>
      <w:r w:rsidRPr="00920C0A">
        <w:rPr>
          <w:b w:val="0"/>
          <w:szCs w:val="28"/>
        </w:rPr>
        <w:t>6) передачі справи на розгляд іншого суду;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7" w:name="n11882"/>
      <w:bookmarkEnd w:id="7"/>
      <w:r w:rsidRPr="00920C0A">
        <w:rPr>
          <w:b w:val="0"/>
          <w:szCs w:val="28"/>
        </w:rPr>
        <w:t>7) відмови поновити або продовжити пропущений процесуальний строк;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8" w:name="n11883"/>
      <w:bookmarkEnd w:id="8"/>
      <w:r w:rsidRPr="00920C0A">
        <w:rPr>
          <w:b w:val="0"/>
          <w:szCs w:val="28"/>
        </w:rPr>
        <w:t>8) затвердження умов примирення сторін;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9" w:name="n11884"/>
      <w:bookmarkEnd w:id="9"/>
      <w:r w:rsidRPr="00920C0A">
        <w:rPr>
          <w:b w:val="0"/>
          <w:szCs w:val="28"/>
        </w:rPr>
        <w:t>9) призначення експертизи;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0" w:name="n11885"/>
      <w:bookmarkEnd w:id="10"/>
      <w:r w:rsidRPr="00920C0A">
        <w:rPr>
          <w:b w:val="0"/>
          <w:szCs w:val="28"/>
        </w:rPr>
        <w:t>10) визначення розміру судових витрат;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1" w:name="n11886"/>
      <w:bookmarkEnd w:id="11"/>
      <w:r w:rsidRPr="00920C0A">
        <w:rPr>
          <w:b w:val="0"/>
          <w:szCs w:val="28"/>
        </w:rPr>
        <w:lastRenderedPageBreak/>
        <w:t>11) зупинення провадження у справі;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2" w:name="n11887"/>
      <w:bookmarkEnd w:id="12"/>
      <w:r w:rsidRPr="00920C0A">
        <w:rPr>
          <w:b w:val="0"/>
          <w:szCs w:val="28"/>
        </w:rPr>
        <w:t>12) залишення позову (заяви) без розгляду;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3" w:name="n11888"/>
      <w:bookmarkEnd w:id="13"/>
      <w:r w:rsidRPr="00920C0A">
        <w:rPr>
          <w:b w:val="0"/>
          <w:szCs w:val="28"/>
        </w:rPr>
        <w:t>13) закриття провадження у справі;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4" w:name="n11889"/>
      <w:bookmarkEnd w:id="14"/>
      <w:r w:rsidRPr="00920C0A">
        <w:rPr>
          <w:b w:val="0"/>
          <w:szCs w:val="28"/>
        </w:rPr>
        <w:t>14) внесення або відмови у внесенні виправлень у рішення;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5" w:name="n11890"/>
      <w:bookmarkEnd w:id="15"/>
      <w:r w:rsidRPr="00920C0A">
        <w:rPr>
          <w:b w:val="0"/>
          <w:szCs w:val="28"/>
        </w:rPr>
        <w:t>15) відмови ухвалити додаткове рішення;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6" w:name="n11891"/>
      <w:bookmarkEnd w:id="16"/>
      <w:r w:rsidRPr="00920C0A">
        <w:rPr>
          <w:b w:val="0"/>
          <w:szCs w:val="28"/>
        </w:rPr>
        <w:t>16) роз’яснення або відмови у роз’ясненні судового рішення;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7" w:name="n11892"/>
      <w:bookmarkEnd w:id="17"/>
      <w:r w:rsidRPr="00920C0A">
        <w:rPr>
          <w:b w:val="0"/>
          <w:szCs w:val="28"/>
        </w:rPr>
        <w:t>17) відмови у відкритті провадження про перегляд судового рішення за нововиявленими або виключними обставинами, відмови в задоволенні заяви про перегляд судового рішення за нововиявленими або виключними обставинами;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18" w:name="n12815"/>
      <w:bookmarkStart w:id="19" w:name="n11893"/>
      <w:bookmarkEnd w:id="18"/>
      <w:bookmarkEnd w:id="19"/>
      <w:r w:rsidRPr="00920C0A">
        <w:rPr>
          <w:b w:val="0"/>
          <w:szCs w:val="28"/>
        </w:rPr>
        <w:t>18) відмови у поновленні пропущеного строку для пред’явлення виконавчого документа до виконання;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0" w:name="n11894"/>
      <w:bookmarkEnd w:id="20"/>
      <w:r w:rsidRPr="00920C0A">
        <w:rPr>
          <w:b w:val="0"/>
          <w:szCs w:val="28"/>
        </w:rPr>
        <w:t>19) відстрочення і розстрочення, зміни або встановлення способу і порядку виконання судового рішення;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1" w:name="n11895"/>
      <w:bookmarkEnd w:id="21"/>
      <w:r w:rsidRPr="00920C0A">
        <w:rPr>
          <w:b w:val="0"/>
          <w:szCs w:val="28"/>
        </w:rPr>
        <w:t>20) заміни сторони у справі (процесуальне правонаступництво) або сторони виконавчого провадження;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2" w:name="n11896"/>
      <w:bookmarkEnd w:id="22"/>
      <w:r w:rsidRPr="00920C0A">
        <w:rPr>
          <w:b w:val="0"/>
          <w:szCs w:val="28"/>
        </w:rPr>
        <w:t>21) повороту виконання рішення суду або відмови у повороті виконання рішення;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3" w:name="n11897"/>
      <w:bookmarkEnd w:id="23"/>
      <w:r w:rsidRPr="00920C0A">
        <w:rPr>
          <w:b w:val="0"/>
          <w:szCs w:val="28"/>
        </w:rPr>
        <w:t>22) внесення чи відмови у внесенні виправлень до виконавчого документа, визнання чи відмови у визнанні виконавчого документа таким, що не підлягає виконанню;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4" w:name="n11898"/>
      <w:bookmarkEnd w:id="24"/>
      <w:r w:rsidRPr="00920C0A">
        <w:rPr>
          <w:b w:val="0"/>
          <w:szCs w:val="28"/>
        </w:rPr>
        <w:t>23) окрема ухвала;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5" w:name="n11899"/>
      <w:bookmarkEnd w:id="25"/>
      <w:r w:rsidRPr="00920C0A">
        <w:rPr>
          <w:b w:val="0"/>
          <w:szCs w:val="28"/>
        </w:rPr>
        <w:t>24) стягнення штрафу в порядку процесуального примусу;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6" w:name="n11900"/>
      <w:bookmarkEnd w:id="26"/>
      <w:r w:rsidRPr="00920C0A">
        <w:rPr>
          <w:b w:val="0"/>
          <w:szCs w:val="28"/>
        </w:rPr>
        <w:t>25) накладення штрафу та інших питань судового контролю за виконанням судових рішень в адміністративних справах, постановлених судом відповідно до</w:t>
      </w:r>
      <w:r w:rsidR="00AC5BD0" w:rsidRPr="00920C0A">
        <w:rPr>
          <w:b w:val="0"/>
          <w:szCs w:val="28"/>
        </w:rPr>
        <w:t xml:space="preserve"> </w:t>
      </w:r>
      <w:hyperlink r:id="rId9" w:anchor="n12552" w:history="1">
        <w:r w:rsidRPr="00920C0A">
          <w:rPr>
            <w:b w:val="0"/>
            <w:szCs w:val="28"/>
          </w:rPr>
          <w:t>статті 382</w:t>
        </w:r>
      </w:hyperlink>
      <w:r w:rsidRPr="00920C0A">
        <w:rPr>
          <w:b w:val="0"/>
          <w:szCs w:val="28"/>
        </w:rPr>
        <w:t xml:space="preserve"> Кодексу;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7" w:name="n11901"/>
      <w:bookmarkEnd w:id="27"/>
      <w:r w:rsidRPr="00920C0A">
        <w:rPr>
          <w:b w:val="0"/>
          <w:szCs w:val="28"/>
        </w:rPr>
        <w:t>26) відмови у відкритті провадження за заявою про відновлення втраченого судового провадження;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bookmarkStart w:id="28" w:name="n11902"/>
      <w:bookmarkEnd w:id="28"/>
      <w:r w:rsidRPr="00920C0A">
        <w:rPr>
          <w:b w:val="0"/>
          <w:szCs w:val="28"/>
        </w:rPr>
        <w:t>27) відновлення або відмови у відновленні повністю або частково втраченого судового провадження</w:t>
      </w:r>
      <w:r w:rsidR="00AC5BD0" w:rsidRPr="00920C0A">
        <w:rPr>
          <w:b w:val="0"/>
          <w:szCs w:val="28"/>
        </w:rPr>
        <w:t xml:space="preserve"> (частина перша статті 294);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lastRenderedPageBreak/>
        <w:t xml:space="preserve">– </w:t>
      </w:r>
      <w:r w:rsidR="00A3732B" w:rsidRPr="00920C0A">
        <w:rPr>
          <w:b w:val="0"/>
          <w:szCs w:val="28"/>
        </w:rPr>
        <w:t>особа-позивач, на користь якої ухвалено рішення суду, має право подати до суду першої інстанції заяву про визнання протиправними рішень, дій чи бездіяльності, вчинених суб’єктом владних повноважень – відповідачем на виконання такого рішення суду, або порушення прав позивача, п</w:t>
      </w:r>
      <w:r w:rsidR="00F75A4C" w:rsidRPr="00920C0A">
        <w:rPr>
          <w:b w:val="0"/>
          <w:szCs w:val="28"/>
        </w:rPr>
        <w:t>ідтверджених таким рішенням суду</w:t>
      </w:r>
      <w:r w:rsidR="00A3732B" w:rsidRPr="00920C0A">
        <w:rPr>
          <w:b w:val="0"/>
          <w:szCs w:val="28"/>
        </w:rPr>
        <w:t xml:space="preserve"> (частина перша статті 383);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 xml:space="preserve">– </w:t>
      </w:r>
      <w:r w:rsidR="00A3732B" w:rsidRPr="00920C0A">
        <w:rPr>
          <w:b w:val="0"/>
          <w:szCs w:val="28"/>
        </w:rPr>
        <w:t>у разі невідповідності заяви вказаним вище вимогам вона ухвалою суду, прийнятою в порядку письмового провадження, повертається заявнику. Така ухвала суду може бути оскаржена (абзац другий частини п’ятої статті 383);</w:t>
      </w:r>
    </w:p>
    <w:p w:rsidR="00070652" w:rsidRPr="00920C0A" w:rsidRDefault="00070652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 xml:space="preserve">– </w:t>
      </w:r>
      <w:r w:rsidR="00A3732B" w:rsidRPr="00920C0A">
        <w:rPr>
          <w:b w:val="0"/>
          <w:szCs w:val="28"/>
        </w:rPr>
        <w:t xml:space="preserve">за відсутності обставин протиправності відповідних рішень, дій чи бездіяльності суб’єкта владних повноважень – відповідача та порушення ним прав, свобод, інтересів особи-позивача, суд залишає заяву без задоволення. За наявності підстав для задоволення заяви суд постановляє ухвалу в порядку, передбаченому </w:t>
      </w:r>
      <w:hyperlink r:id="rId10" w:anchor="n11428" w:history="1">
        <w:r w:rsidR="00A3732B" w:rsidRPr="00920C0A">
          <w:rPr>
            <w:b w:val="0"/>
            <w:szCs w:val="28"/>
          </w:rPr>
          <w:t>статтею 249</w:t>
        </w:r>
      </w:hyperlink>
      <w:r w:rsidR="00A3732B" w:rsidRPr="00920C0A">
        <w:rPr>
          <w:b w:val="0"/>
          <w:szCs w:val="28"/>
        </w:rPr>
        <w:t xml:space="preserve"> Кодексу</w:t>
      </w:r>
      <w:r w:rsidR="00F75A4C" w:rsidRPr="00920C0A">
        <w:rPr>
          <w:b w:val="0"/>
          <w:szCs w:val="28"/>
        </w:rPr>
        <w:t xml:space="preserve"> </w:t>
      </w:r>
      <w:r w:rsidR="00A3732B" w:rsidRPr="00920C0A">
        <w:rPr>
          <w:b w:val="0"/>
          <w:szCs w:val="28"/>
        </w:rPr>
        <w:t>(частина шоста статті 383).</w:t>
      </w:r>
    </w:p>
    <w:p w:rsidR="00070652" w:rsidRPr="00920C0A" w:rsidRDefault="00A3732B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>На думку автора клопотання, оспорювані положення Кодексу суперечать частині першій статті 24, частині другій статті 55, частині п’ятій статті 125,</w:t>
      </w:r>
      <w:r w:rsidR="00D91327" w:rsidRPr="00920C0A">
        <w:rPr>
          <w:b w:val="0"/>
          <w:szCs w:val="28"/>
        </w:rPr>
        <w:t xml:space="preserve"> пунктам</w:t>
      </w:r>
      <w:r w:rsidRPr="00920C0A">
        <w:rPr>
          <w:b w:val="0"/>
          <w:szCs w:val="28"/>
        </w:rPr>
        <w:t xml:space="preserve"> </w:t>
      </w:r>
      <w:r w:rsidR="00D91327" w:rsidRPr="00920C0A">
        <w:rPr>
          <w:b w:val="0"/>
          <w:szCs w:val="28"/>
        </w:rPr>
        <w:t xml:space="preserve">1, 3, </w:t>
      </w:r>
      <w:r w:rsidRPr="00920C0A">
        <w:rPr>
          <w:b w:val="0"/>
          <w:szCs w:val="28"/>
        </w:rPr>
        <w:t>8 частини другої статті 129 Конституції України</w:t>
      </w:r>
      <w:r w:rsidR="004F47AC" w:rsidRPr="00920C0A">
        <w:rPr>
          <w:b w:val="0"/>
          <w:szCs w:val="28"/>
        </w:rPr>
        <w:t>, оскільки унеможливлюють перегляд ухвал суду першої інстанції про відмову у задоволенні заяви, постанов</w:t>
      </w:r>
      <w:r w:rsidR="00A23306" w:rsidRPr="00920C0A">
        <w:rPr>
          <w:b w:val="0"/>
          <w:szCs w:val="28"/>
        </w:rPr>
        <w:t>лених в</w:t>
      </w:r>
      <w:r w:rsidR="004F47AC" w:rsidRPr="00920C0A">
        <w:rPr>
          <w:b w:val="0"/>
          <w:szCs w:val="28"/>
        </w:rPr>
        <w:t xml:space="preserve"> порядку статті 383 Кодексу, водночас ухвали про задоволення такої заяви</w:t>
      </w:r>
      <w:r w:rsidR="00B80FFF" w:rsidRPr="00920C0A">
        <w:rPr>
          <w:b w:val="0"/>
          <w:szCs w:val="28"/>
        </w:rPr>
        <w:t xml:space="preserve"> можна оскаржити в апеляційному порядку, що призводить до ,,порушення права на процесуально рівний, змагальний, вільний від дискримінації і законного шахрайства доступ до суду</w:t>
      </w:r>
      <w:r w:rsidR="00527EBF" w:rsidRPr="00920C0A">
        <w:rPr>
          <w:b w:val="0"/>
          <w:szCs w:val="28"/>
        </w:rPr>
        <w:t>“</w:t>
      </w:r>
      <w:r w:rsidR="00B80FFF" w:rsidRPr="00920C0A">
        <w:rPr>
          <w:b w:val="0"/>
          <w:szCs w:val="28"/>
        </w:rPr>
        <w:t>.</w:t>
      </w:r>
    </w:p>
    <w:p w:rsidR="003A5465" w:rsidRPr="00920C0A" w:rsidRDefault="003A5465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>Н</w:t>
      </w:r>
      <w:r w:rsidR="00C13D3A" w:rsidRPr="00920C0A">
        <w:rPr>
          <w:b w:val="0"/>
          <w:szCs w:val="28"/>
        </w:rPr>
        <w:t>а підтвердження своєї</w:t>
      </w:r>
      <w:r w:rsidRPr="00920C0A">
        <w:rPr>
          <w:b w:val="0"/>
          <w:szCs w:val="28"/>
        </w:rPr>
        <w:t xml:space="preserve"> </w:t>
      </w:r>
      <w:r w:rsidR="00C13D3A" w:rsidRPr="00920C0A">
        <w:rPr>
          <w:b w:val="0"/>
          <w:szCs w:val="28"/>
        </w:rPr>
        <w:t>позиції</w:t>
      </w:r>
      <w:r w:rsidRPr="00920C0A">
        <w:rPr>
          <w:b w:val="0"/>
          <w:szCs w:val="28"/>
        </w:rPr>
        <w:t xml:space="preserve"> Плескач В.Ю. цитує норми Конституції України, Кодексу, Цивільного процесуального кодексу України, Господарського процесуального </w:t>
      </w:r>
      <w:r w:rsidR="007672D9" w:rsidRPr="00920C0A">
        <w:rPr>
          <w:b w:val="0"/>
          <w:szCs w:val="28"/>
        </w:rPr>
        <w:t>кодексу України,</w:t>
      </w:r>
      <w:r w:rsidR="00B57847" w:rsidRPr="00920C0A">
        <w:rPr>
          <w:b w:val="0"/>
          <w:szCs w:val="28"/>
        </w:rPr>
        <w:t xml:space="preserve"> наводить </w:t>
      </w:r>
      <w:r w:rsidR="00C13D3A" w:rsidRPr="00920C0A">
        <w:rPr>
          <w:b w:val="0"/>
          <w:szCs w:val="28"/>
        </w:rPr>
        <w:t>практику</w:t>
      </w:r>
      <w:r w:rsidR="00B57847" w:rsidRPr="00920C0A">
        <w:rPr>
          <w:b w:val="0"/>
          <w:szCs w:val="28"/>
        </w:rPr>
        <w:t xml:space="preserve"> </w:t>
      </w:r>
      <w:r w:rsidR="007672D9" w:rsidRPr="00920C0A">
        <w:rPr>
          <w:b w:val="0"/>
          <w:szCs w:val="28"/>
        </w:rPr>
        <w:t xml:space="preserve">Верховного Суду та Європейського суду з прав людини, </w:t>
      </w:r>
      <w:r w:rsidR="00B57847" w:rsidRPr="00920C0A">
        <w:rPr>
          <w:b w:val="0"/>
          <w:szCs w:val="28"/>
        </w:rPr>
        <w:t xml:space="preserve">посилається на рішення Конституційного Суду України </w:t>
      </w:r>
      <w:r w:rsidR="00C13D3A" w:rsidRPr="00920C0A">
        <w:rPr>
          <w:b w:val="0"/>
          <w:szCs w:val="28"/>
        </w:rPr>
        <w:t>та</w:t>
      </w:r>
      <w:r w:rsidRPr="00920C0A">
        <w:rPr>
          <w:b w:val="0"/>
          <w:szCs w:val="28"/>
        </w:rPr>
        <w:t xml:space="preserve"> </w:t>
      </w:r>
      <w:r w:rsidR="007672D9" w:rsidRPr="00920C0A">
        <w:rPr>
          <w:b w:val="0"/>
          <w:szCs w:val="28"/>
        </w:rPr>
        <w:t>конституційних судів зарубіжних країн</w:t>
      </w:r>
      <w:r w:rsidRPr="00920C0A">
        <w:rPr>
          <w:b w:val="0"/>
          <w:szCs w:val="28"/>
        </w:rPr>
        <w:t>, а також на судові рішення у своїй справі,</w:t>
      </w:r>
      <w:r w:rsidR="007672D9" w:rsidRPr="00920C0A">
        <w:rPr>
          <w:b w:val="0"/>
          <w:szCs w:val="28"/>
        </w:rPr>
        <w:t xml:space="preserve"> копії </w:t>
      </w:r>
      <w:r w:rsidRPr="00920C0A">
        <w:rPr>
          <w:b w:val="0"/>
          <w:szCs w:val="28"/>
        </w:rPr>
        <w:t>яких</w:t>
      </w:r>
      <w:r w:rsidR="007672D9" w:rsidRPr="00920C0A">
        <w:rPr>
          <w:b w:val="0"/>
          <w:szCs w:val="28"/>
        </w:rPr>
        <w:t xml:space="preserve"> </w:t>
      </w:r>
      <w:r w:rsidRPr="00920C0A">
        <w:rPr>
          <w:b w:val="0"/>
          <w:szCs w:val="28"/>
        </w:rPr>
        <w:t>долучено до конституційної скарги.</w:t>
      </w:r>
    </w:p>
    <w:p w:rsidR="003A6FBE" w:rsidRPr="00920C0A" w:rsidRDefault="003A6FBE" w:rsidP="005A6197">
      <w:pPr>
        <w:pStyle w:val="a5"/>
        <w:spacing w:line="348" w:lineRule="auto"/>
        <w:ind w:firstLine="709"/>
        <w:rPr>
          <w:b w:val="0"/>
          <w:szCs w:val="28"/>
        </w:rPr>
      </w:pPr>
    </w:p>
    <w:p w:rsidR="00334E07" w:rsidRDefault="00334E07" w:rsidP="005A6197">
      <w:pPr>
        <w:pStyle w:val="a5"/>
        <w:spacing w:line="348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>2. 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920C0A" w:rsidRPr="00920C0A" w:rsidRDefault="00920C0A" w:rsidP="00920C0A">
      <w:pPr>
        <w:pStyle w:val="a5"/>
        <w:spacing w:line="360" w:lineRule="auto"/>
        <w:ind w:firstLine="709"/>
        <w:rPr>
          <w:b w:val="0"/>
          <w:szCs w:val="28"/>
        </w:rPr>
      </w:pPr>
    </w:p>
    <w:p w:rsidR="00B57847" w:rsidRPr="00920C0A" w:rsidRDefault="00B57847" w:rsidP="00920C0A">
      <w:pPr>
        <w:spacing w:line="360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920C0A">
        <w:rPr>
          <w:rFonts w:eastAsia="Times New Roman"/>
          <w:snapToGrid w:val="0"/>
          <w:sz w:val="28"/>
          <w:szCs w:val="28"/>
          <w:lang w:val="uk-UA"/>
        </w:rPr>
        <w:t xml:space="preserve">2.1. Згідно зі статтею 77 Закону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 </w:t>
      </w:r>
      <w:r w:rsidR="00920C0A">
        <w:rPr>
          <w:rFonts w:eastAsia="Times New Roman"/>
          <w:snapToGrid w:val="0"/>
          <w:sz w:val="28"/>
          <w:szCs w:val="28"/>
          <w:lang w:val="uk-UA"/>
        </w:rPr>
        <w:t>(абзац перший</w:t>
      </w:r>
      <w:r w:rsidR="00920C0A">
        <w:rPr>
          <w:rFonts w:eastAsia="Times New Roman"/>
          <w:snapToGrid w:val="0"/>
          <w:sz w:val="28"/>
          <w:szCs w:val="28"/>
          <w:lang w:val="uk-UA"/>
        </w:rPr>
        <w:br/>
      </w:r>
      <w:r w:rsidRPr="00920C0A">
        <w:rPr>
          <w:rFonts w:eastAsia="Times New Roman"/>
          <w:snapToGrid w:val="0"/>
          <w:sz w:val="28"/>
          <w:szCs w:val="28"/>
          <w:lang w:val="uk-UA"/>
        </w:rPr>
        <w:t>частини першої).</w:t>
      </w:r>
    </w:p>
    <w:p w:rsidR="00B57847" w:rsidRPr="00920C0A" w:rsidRDefault="00B57847" w:rsidP="00920C0A">
      <w:pPr>
        <w:spacing w:line="360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920C0A">
        <w:rPr>
          <w:rFonts w:eastAsia="Times New Roman"/>
          <w:snapToGrid w:val="0"/>
          <w:sz w:val="28"/>
          <w:szCs w:val="28"/>
          <w:lang w:val="uk-UA"/>
        </w:rPr>
        <w:t>Статтею 55 Закону України „Про Конституційний Суд України“ визначено, що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перша).</w:t>
      </w:r>
    </w:p>
    <w:p w:rsidR="00B57847" w:rsidRPr="00920C0A" w:rsidRDefault="00B57847" w:rsidP="00920C0A">
      <w:pPr>
        <w:spacing w:line="360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920C0A">
        <w:rPr>
          <w:rFonts w:eastAsia="Times New Roman"/>
          <w:snapToGrid w:val="0"/>
          <w:sz w:val="28"/>
          <w:szCs w:val="28"/>
          <w:lang w:val="uk-UA"/>
        </w:rPr>
        <w:t>За частиною першою статті 56 Закону України „Про Конституційний Суд України“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України.</w:t>
      </w:r>
    </w:p>
    <w:p w:rsidR="00C13D3A" w:rsidRPr="00920C0A" w:rsidRDefault="00B57847" w:rsidP="00920C0A">
      <w:pPr>
        <w:spacing w:line="360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920C0A">
        <w:rPr>
          <w:rFonts w:eastAsia="Times New Roman"/>
          <w:snapToGrid w:val="0"/>
          <w:sz w:val="28"/>
          <w:szCs w:val="28"/>
          <w:lang w:val="uk-UA"/>
        </w:rPr>
        <w:t>Аналіз остаточного судового рішення у справі</w:t>
      </w:r>
      <w:r w:rsidR="0016180C" w:rsidRPr="00920C0A">
        <w:rPr>
          <w:rFonts w:eastAsia="Times New Roman"/>
          <w:snapToGrid w:val="0"/>
          <w:sz w:val="28"/>
          <w:szCs w:val="28"/>
          <w:lang w:val="uk-UA"/>
        </w:rPr>
        <w:t xml:space="preserve"> Плескача В.Ю.</w:t>
      </w:r>
      <w:r w:rsidR="00C13D3A" w:rsidRPr="00920C0A">
        <w:rPr>
          <w:rFonts w:eastAsia="Times New Roman"/>
          <w:snapToGrid w:val="0"/>
          <w:sz w:val="28"/>
          <w:szCs w:val="28"/>
          <w:lang w:val="uk-UA"/>
        </w:rPr>
        <w:t>, а саме ухвали</w:t>
      </w:r>
      <w:r w:rsidRPr="00920C0A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="00C13D3A" w:rsidRPr="00920C0A">
        <w:rPr>
          <w:rFonts w:eastAsia="Times New Roman"/>
          <w:snapToGrid w:val="0"/>
          <w:sz w:val="28"/>
          <w:szCs w:val="28"/>
          <w:lang w:val="uk-UA"/>
        </w:rPr>
        <w:t>Великої Палати</w:t>
      </w:r>
      <w:r w:rsidRPr="00920C0A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="009D20E1" w:rsidRPr="00920C0A">
        <w:rPr>
          <w:rFonts w:eastAsia="Times New Roman"/>
          <w:snapToGrid w:val="0"/>
          <w:sz w:val="28"/>
          <w:szCs w:val="28"/>
          <w:lang w:val="uk-UA"/>
        </w:rPr>
        <w:t>Верховного С</w:t>
      </w:r>
      <w:r w:rsidR="00C13D3A" w:rsidRPr="00920C0A">
        <w:rPr>
          <w:rFonts w:eastAsia="Times New Roman"/>
          <w:snapToGrid w:val="0"/>
          <w:sz w:val="28"/>
          <w:szCs w:val="28"/>
          <w:lang w:val="uk-UA"/>
        </w:rPr>
        <w:t>уду</w:t>
      </w:r>
      <w:r w:rsidRPr="00920C0A">
        <w:rPr>
          <w:rFonts w:eastAsia="Times New Roman"/>
          <w:snapToGrid w:val="0"/>
          <w:sz w:val="28"/>
          <w:szCs w:val="28"/>
          <w:lang w:val="uk-UA"/>
        </w:rPr>
        <w:t xml:space="preserve"> від </w:t>
      </w:r>
      <w:r w:rsidR="00C13D3A" w:rsidRPr="00920C0A">
        <w:rPr>
          <w:rFonts w:eastAsia="Times New Roman"/>
          <w:snapToGrid w:val="0"/>
          <w:sz w:val="28"/>
          <w:szCs w:val="28"/>
          <w:lang w:val="uk-UA"/>
        </w:rPr>
        <w:t>22 листопада</w:t>
      </w:r>
      <w:r w:rsidRPr="00920C0A">
        <w:rPr>
          <w:rFonts w:eastAsia="Times New Roman"/>
          <w:snapToGrid w:val="0"/>
          <w:sz w:val="28"/>
          <w:szCs w:val="28"/>
          <w:lang w:val="uk-UA"/>
        </w:rPr>
        <w:t xml:space="preserve"> 20</w:t>
      </w:r>
      <w:r w:rsidR="00C13D3A" w:rsidRPr="00920C0A">
        <w:rPr>
          <w:rFonts w:eastAsia="Times New Roman"/>
          <w:snapToGrid w:val="0"/>
          <w:sz w:val="28"/>
          <w:szCs w:val="28"/>
          <w:lang w:val="uk-UA"/>
        </w:rPr>
        <w:t>2</w:t>
      </w:r>
      <w:r w:rsidRPr="00920C0A">
        <w:rPr>
          <w:rFonts w:eastAsia="Times New Roman"/>
          <w:snapToGrid w:val="0"/>
          <w:sz w:val="28"/>
          <w:szCs w:val="28"/>
          <w:lang w:val="uk-UA"/>
        </w:rPr>
        <w:t>1 року, дає підстави для висновку, що у ньом</w:t>
      </w:r>
      <w:r w:rsidR="00920C0A">
        <w:rPr>
          <w:rFonts w:eastAsia="Times New Roman"/>
          <w:snapToGrid w:val="0"/>
          <w:sz w:val="28"/>
          <w:szCs w:val="28"/>
          <w:lang w:val="uk-UA"/>
        </w:rPr>
        <w:t>у не були застосовані положення</w:t>
      </w:r>
      <w:r w:rsidR="00920C0A">
        <w:rPr>
          <w:rFonts w:eastAsia="Times New Roman"/>
          <w:snapToGrid w:val="0"/>
          <w:sz w:val="28"/>
          <w:szCs w:val="28"/>
          <w:lang w:val="uk-UA"/>
        </w:rPr>
        <w:br/>
      </w:r>
      <w:r w:rsidR="00C13D3A" w:rsidRPr="00920C0A">
        <w:rPr>
          <w:rFonts w:eastAsia="Times New Roman"/>
          <w:snapToGrid w:val="0"/>
          <w:sz w:val="28"/>
          <w:szCs w:val="28"/>
          <w:lang w:val="uk-UA"/>
        </w:rPr>
        <w:t>абзацу другого частини п’ятої, частини шостої статті 383 Кодексу</w:t>
      </w:r>
      <w:r w:rsidRPr="00920C0A">
        <w:rPr>
          <w:rFonts w:eastAsia="Times New Roman"/>
          <w:snapToGrid w:val="0"/>
          <w:sz w:val="28"/>
          <w:szCs w:val="28"/>
          <w:lang w:val="uk-UA"/>
        </w:rPr>
        <w:t>.</w:t>
      </w:r>
      <w:r w:rsidR="00C13D3A" w:rsidRPr="00920C0A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Pr="00920C0A">
        <w:rPr>
          <w:rFonts w:eastAsia="Times New Roman"/>
          <w:snapToGrid w:val="0"/>
          <w:sz w:val="28"/>
          <w:szCs w:val="28"/>
          <w:lang w:val="uk-UA"/>
        </w:rPr>
        <w:t xml:space="preserve">За таких обставин Плескач В.Ю. не є належним суб’єктом права на конституційну скаргу в розумінні вимог </w:t>
      </w:r>
      <w:r w:rsidR="009D20E1" w:rsidRPr="00920C0A">
        <w:rPr>
          <w:rFonts w:eastAsia="Times New Roman"/>
          <w:snapToGrid w:val="0"/>
          <w:sz w:val="28"/>
          <w:szCs w:val="28"/>
          <w:lang w:val="uk-UA"/>
        </w:rPr>
        <w:t xml:space="preserve">абзацу першого </w:t>
      </w:r>
      <w:r w:rsidRPr="00920C0A">
        <w:rPr>
          <w:rFonts w:eastAsia="Times New Roman"/>
          <w:snapToGrid w:val="0"/>
          <w:sz w:val="28"/>
          <w:szCs w:val="28"/>
          <w:lang w:val="uk-UA"/>
        </w:rPr>
        <w:t>частини першої статті 56 Закону України „Про Конституційний Суд України“.</w:t>
      </w:r>
    </w:p>
    <w:p w:rsidR="00B57847" w:rsidRDefault="00B57847" w:rsidP="00920C0A">
      <w:pPr>
        <w:spacing w:line="360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920C0A">
        <w:rPr>
          <w:rFonts w:eastAsia="Times New Roman"/>
          <w:snapToGrid w:val="0"/>
          <w:sz w:val="28"/>
          <w:szCs w:val="28"/>
          <w:lang w:val="uk-UA"/>
        </w:rPr>
        <w:t>З огляду на наведене конституційна скарга</w:t>
      </w:r>
      <w:r w:rsidR="0016180C" w:rsidRPr="00920C0A">
        <w:rPr>
          <w:rFonts w:eastAsia="Times New Roman"/>
          <w:snapToGrid w:val="0"/>
          <w:sz w:val="28"/>
          <w:szCs w:val="28"/>
          <w:lang w:val="uk-UA"/>
        </w:rPr>
        <w:t xml:space="preserve"> в цій частині</w:t>
      </w:r>
      <w:r w:rsidRPr="00920C0A">
        <w:rPr>
          <w:rFonts w:eastAsia="Times New Roman"/>
          <w:snapToGrid w:val="0"/>
          <w:sz w:val="28"/>
          <w:szCs w:val="28"/>
          <w:lang w:val="uk-UA"/>
        </w:rPr>
        <w:t xml:space="preserve"> суперечить вимогам статей 55, 56 Закону України „Про Конституційний Суд України“, що є підставою для відмови у відкритті конституційного провадження у справі згідно з пунктом 1 статті 62 цього закону – звернення до Конституційного Суду України неналежним суб’єктом.</w:t>
      </w:r>
    </w:p>
    <w:p w:rsidR="005A6197" w:rsidRPr="00920C0A" w:rsidRDefault="005A6197" w:rsidP="00920C0A">
      <w:pPr>
        <w:spacing w:line="360" w:lineRule="auto"/>
        <w:ind w:firstLine="709"/>
        <w:jc w:val="both"/>
        <w:rPr>
          <w:rFonts w:eastAsia="Times New Roman"/>
          <w:snapToGrid w:val="0"/>
          <w:sz w:val="28"/>
          <w:szCs w:val="28"/>
          <w:lang w:val="uk-UA"/>
        </w:rPr>
      </w:pPr>
    </w:p>
    <w:p w:rsidR="00B57847" w:rsidRPr="00920C0A" w:rsidRDefault="00B57847" w:rsidP="00920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0C0A">
        <w:rPr>
          <w:sz w:val="28"/>
          <w:szCs w:val="28"/>
          <w:lang w:val="uk-UA"/>
        </w:rPr>
        <w:t>2.2. Відповідно до пункту 6 частини другої статті 55 Закону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B57847" w:rsidRPr="00920C0A" w:rsidRDefault="00B57847" w:rsidP="00920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0C0A">
        <w:rPr>
          <w:sz w:val="28"/>
          <w:szCs w:val="28"/>
          <w:lang w:val="uk-UA"/>
        </w:rPr>
        <w:t>Згідно з абзацом першим частини першої статті 77 Закону України „Про Конституційний Суд України“ конституційна скарга вважається прийнятною за умов її відповідності вимогам, передбаченим, зокрема, статтею 55 цього закону.</w:t>
      </w:r>
    </w:p>
    <w:p w:rsidR="00B57847" w:rsidRPr="00920C0A" w:rsidRDefault="00B57847" w:rsidP="00920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0C0A">
        <w:rPr>
          <w:sz w:val="28"/>
          <w:szCs w:val="28"/>
          <w:lang w:val="uk-UA"/>
        </w:rPr>
        <w:t xml:space="preserve">Зі змісту конституційної скарги вбачається, що </w:t>
      </w:r>
      <w:r w:rsidR="0016180C" w:rsidRPr="00920C0A">
        <w:rPr>
          <w:sz w:val="28"/>
          <w:szCs w:val="28"/>
          <w:lang w:val="uk-UA"/>
        </w:rPr>
        <w:t>Плескач В.Ю</w:t>
      </w:r>
      <w:r w:rsidRPr="00920C0A">
        <w:rPr>
          <w:sz w:val="28"/>
          <w:szCs w:val="28"/>
          <w:lang w:val="uk-UA"/>
        </w:rPr>
        <w:t xml:space="preserve">. не обґрунтував тверджень щодо неконституційності положень </w:t>
      </w:r>
      <w:r w:rsidR="0016180C" w:rsidRPr="00920C0A">
        <w:rPr>
          <w:sz w:val="28"/>
          <w:szCs w:val="28"/>
          <w:lang w:val="uk-UA"/>
        </w:rPr>
        <w:t>частини другої статті 293, частини першої статті 294, частини першої статті 383 Кодексу</w:t>
      </w:r>
      <w:r w:rsidRPr="00920C0A">
        <w:rPr>
          <w:sz w:val="28"/>
          <w:szCs w:val="28"/>
          <w:lang w:val="uk-UA"/>
        </w:rPr>
        <w:t>, які застосовані в остаточному судовому рішення в його справі</w:t>
      </w:r>
      <w:r w:rsidR="0016180C" w:rsidRPr="00920C0A">
        <w:rPr>
          <w:sz w:val="28"/>
          <w:szCs w:val="28"/>
          <w:lang w:val="uk-UA"/>
        </w:rPr>
        <w:t>.</w:t>
      </w:r>
    </w:p>
    <w:p w:rsidR="00D452AD" w:rsidRPr="00920C0A" w:rsidRDefault="00B57847" w:rsidP="00920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0C0A">
        <w:rPr>
          <w:sz w:val="28"/>
          <w:szCs w:val="28"/>
          <w:lang w:val="uk-UA"/>
        </w:rPr>
        <w:t xml:space="preserve">Стверджуючи про неконституційність </w:t>
      </w:r>
      <w:r w:rsidR="0016180C" w:rsidRPr="00920C0A">
        <w:rPr>
          <w:sz w:val="28"/>
          <w:szCs w:val="28"/>
          <w:lang w:val="uk-UA"/>
        </w:rPr>
        <w:t>оспорюваних положень Кодексу</w:t>
      </w:r>
      <w:r w:rsidRPr="00920C0A">
        <w:rPr>
          <w:sz w:val="28"/>
          <w:szCs w:val="28"/>
          <w:lang w:val="uk-UA"/>
        </w:rPr>
        <w:t xml:space="preserve">, </w:t>
      </w:r>
      <w:r w:rsidR="00B41B62" w:rsidRPr="00920C0A">
        <w:rPr>
          <w:sz w:val="28"/>
          <w:szCs w:val="28"/>
          <w:lang w:val="uk-UA"/>
        </w:rPr>
        <w:t>суб’єкт права на конституційну скаргу</w:t>
      </w:r>
      <w:r w:rsidRPr="00920C0A">
        <w:rPr>
          <w:sz w:val="28"/>
          <w:szCs w:val="28"/>
          <w:lang w:val="uk-UA"/>
        </w:rPr>
        <w:t xml:space="preserve"> </w:t>
      </w:r>
      <w:r w:rsidR="00D452AD" w:rsidRPr="00920C0A">
        <w:rPr>
          <w:rFonts w:eastAsia="Times New Roman"/>
          <w:color w:val="000000"/>
          <w:sz w:val="28"/>
          <w:szCs w:val="28"/>
          <w:lang w:val="uk-UA" w:eastAsia="uk-UA"/>
        </w:rPr>
        <w:t xml:space="preserve">висловлює незгоду із судовим рішенням, ухваленим у його справі, цитує окремі положення Конституції України, Кодексу, законів України, </w:t>
      </w:r>
      <w:r w:rsidR="00A23306" w:rsidRPr="00920C0A">
        <w:rPr>
          <w:rFonts w:eastAsia="Times New Roman"/>
          <w:color w:val="000000"/>
          <w:sz w:val="28"/>
          <w:szCs w:val="28"/>
          <w:lang w:val="uk-UA" w:eastAsia="uk-UA"/>
        </w:rPr>
        <w:t xml:space="preserve">наводить </w:t>
      </w:r>
      <w:r w:rsidR="00D452AD" w:rsidRPr="00920C0A">
        <w:rPr>
          <w:rFonts w:eastAsia="Times New Roman"/>
          <w:color w:val="000000"/>
          <w:sz w:val="28"/>
          <w:szCs w:val="28"/>
          <w:lang w:val="uk-UA" w:eastAsia="uk-UA"/>
        </w:rPr>
        <w:t>юридичні позиції Конституційного Суду України та конституційних судів зарубіжних країн</w:t>
      </w:r>
      <w:r w:rsidR="00A23306" w:rsidRPr="00920C0A">
        <w:rPr>
          <w:rFonts w:eastAsia="Times New Roman"/>
          <w:color w:val="000000"/>
          <w:sz w:val="28"/>
          <w:szCs w:val="28"/>
          <w:lang w:val="uk-UA" w:eastAsia="uk-UA"/>
        </w:rPr>
        <w:t>.</w:t>
      </w:r>
      <w:r w:rsidR="00D452AD" w:rsidRPr="00920C0A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A23306" w:rsidRPr="00920C0A">
        <w:rPr>
          <w:rFonts w:eastAsia="Times New Roman"/>
          <w:color w:val="000000"/>
          <w:sz w:val="28"/>
          <w:szCs w:val="28"/>
          <w:lang w:val="uk-UA" w:eastAsia="uk-UA"/>
        </w:rPr>
        <w:t xml:space="preserve">Зазначене </w:t>
      </w:r>
      <w:r w:rsidR="00D452AD" w:rsidRPr="00920C0A">
        <w:rPr>
          <w:rFonts w:eastAsia="Times New Roman"/>
          <w:color w:val="000000"/>
          <w:sz w:val="28"/>
          <w:szCs w:val="28"/>
          <w:lang w:val="uk-UA" w:eastAsia="uk-UA"/>
        </w:rPr>
        <w:t xml:space="preserve">не є обґрунтуванням тверджень щодо неконституційності оспорюваних положень Кодексу у розумінні вимог пункту 6 </w:t>
      </w:r>
      <w:r w:rsidR="00D452AD" w:rsidRPr="00920C0A">
        <w:rPr>
          <w:sz w:val="28"/>
          <w:szCs w:val="28"/>
          <w:lang w:val="uk-UA"/>
        </w:rPr>
        <w:t>частини другої статті 55 Закону України „Про Конституційний Суд України“</w:t>
      </w:r>
      <w:r w:rsidR="00A23306" w:rsidRPr="00920C0A">
        <w:rPr>
          <w:sz w:val="28"/>
          <w:szCs w:val="28"/>
          <w:lang w:val="uk-UA"/>
        </w:rPr>
        <w:t xml:space="preserve">, що є підставою для відмови у відкритті конституційного провадження у справі в цій частині згідно з пунктом 4 </w:t>
      </w:r>
      <w:r w:rsidR="00A23306" w:rsidRPr="00920C0A">
        <w:rPr>
          <w:b/>
          <w:sz w:val="28"/>
          <w:szCs w:val="28"/>
          <w:lang w:val="uk-UA"/>
        </w:rPr>
        <w:br/>
      </w:r>
      <w:r w:rsidR="00A23306" w:rsidRPr="00920C0A">
        <w:rPr>
          <w:sz w:val="28"/>
          <w:szCs w:val="28"/>
          <w:lang w:val="uk-UA"/>
        </w:rPr>
        <w:t>статті 62 Закону України „Про Конституційний Суд України“.</w:t>
      </w:r>
    </w:p>
    <w:p w:rsidR="00B57847" w:rsidRPr="00920C0A" w:rsidRDefault="00B57847" w:rsidP="00920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0C0A">
        <w:rPr>
          <w:sz w:val="28"/>
          <w:szCs w:val="28"/>
          <w:lang w:val="uk-UA"/>
        </w:rPr>
        <w:t>Отже, конституційна скарга не відповідає вимогам пункту 6 частини другої статті 55</w:t>
      </w:r>
      <w:r w:rsidR="009D20E1" w:rsidRPr="00920C0A">
        <w:rPr>
          <w:sz w:val="28"/>
          <w:szCs w:val="28"/>
          <w:lang w:val="uk-UA"/>
        </w:rPr>
        <w:t>, абзацу першого частини першої статті 56</w:t>
      </w:r>
      <w:r w:rsidRPr="00920C0A">
        <w:rPr>
          <w:sz w:val="28"/>
          <w:szCs w:val="28"/>
          <w:lang w:val="uk-UA"/>
        </w:rPr>
        <w:t xml:space="preserve"> Закону України „Про Конституційний Суд України“, що є підставою для відмови у відкритті конституційного провадження у справі згідно з пунктами 1, 4 статті 62 цього закону – </w:t>
      </w:r>
      <w:r w:rsidRPr="00920C0A">
        <w:rPr>
          <w:rFonts w:eastAsia="Times New Roman"/>
          <w:snapToGrid w:val="0"/>
          <w:sz w:val="28"/>
          <w:szCs w:val="28"/>
          <w:lang w:val="uk-UA"/>
        </w:rPr>
        <w:t>звернення до Конституційного Суду України неналежним суб’єктом;</w:t>
      </w:r>
      <w:r w:rsidRPr="00920C0A">
        <w:rPr>
          <w:sz w:val="28"/>
          <w:szCs w:val="28"/>
          <w:lang w:val="uk-UA"/>
        </w:rPr>
        <w:t xml:space="preserve"> неприйнятність конституційної скарги.</w:t>
      </w:r>
    </w:p>
    <w:p w:rsidR="00A80F60" w:rsidRPr="00920C0A" w:rsidRDefault="00A80F60" w:rsidP="00920C0A">
      <w:pPr>
        <w:pStyle w:val="a5"/>
        <w:spacing w:line="360" w:lineRule="auto"/>
        <w:ind w:firstLine="709"/>
        <w:rPr>
          <w:b w:val="0"/>
          <w:szCs w:val="28"/>
        </w:rPr>
      </w:pPr>
    </w:p>
    <w:p w:rsidR="00126D62" w:rsidRPr="00920C0A" w:rsidRDefault="00662055" w:rsidP="00920C0A">
      <w:pPr>
        <w:pStyle w:val="a5"/>
        <w:spacing w:line="360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>У</w:t>
      </w:r>
      <w:r w:rsidR="00126D62" w:rsidRPr="00920C0A">
        <w:rPr>
          <w:b w:val="0"/>
          <w:szCs w:val="28"/>
        </w:rPr>
        <w:t>раховуючи викладене та керуючись статтями 147, 151</w:t>
      </w:r>
      <w:r w:rsidR="00621815" w:rsidRPr="00920C0A">
        <w:rPr>
          <w:b w:val="0"/>
          <w:szCs w:val="28"/>
          <w:vertAlign w:val="superscript"/>
        </w:rPr>
        <w:t>1</w:t>
      </w:r>
      <w:r w:rsidR="00126D62" w:rsidRPr="00920C0A">
        <w:rPr>
          <w:b w:val="0"/>
          <w:szCs w:val="28"/>
        </w:rPr>
        <w:t xml:space="preserve">, 153 Конституції України, </w:t>
      </w:r>
      <w:r w:rsidR="002E3E59" w:rsidRPr="00920C0A">
        <w:rPr>
          <w:b w:val="0"/>
          <w:szCs w:val="28"/>
        </w:rPr>
        <w:t xml:space="preserve">на підставі </w:t>
      </w:r>
      <w:r w:rsidR="00126D62" w:rsidRPr="00920C0A">
        <w:rPr>
          <w:b w:val="0"/>
          <w:szCs w:val="28"/>
        </w:rPr>
        <w:t>стат</w:t>
      </w:r>
      <w:r w:rsidR="002E3E59" w:rsidRPr="00920C0A">
        <w:rPr>
          <w:b w:val="0"/>
          <w:szCs w:val="28"/>
        </w:rPr>
        <w:t>ей</w:t>
      </w:r>
      <w:r w:rsidR="00126D62" w:rsidRPr="00920C0A">
        <w:rPr>
          <w:b w:val="0"/>
          <w:szCs w:val="28"/>
        </w:rPr>
        <w:t xml:space="preserve"> 7, 32, 37, 50, 55, 56, </w:t>
      </w:r>
      <w:r w:rsidR="0086426A" w:rsidRPr="00920C0A">
        <w:rPr>
          <w:b w:val="0"/>
          <w:szCs w:val="28"/>
        </w:rPr>
        <w:t xml:space="preserve">58, </w:t>
      </w:r>
      <w:r w:rsidR="00126D62" w:rsidRPr="00920C0A">
        <w:rPr>
          <w:b w:val="0"/>
          <w:szCs w:val="28"/>
        </w:rPr>
        <w:t>61, 62, 77</w:t>
      </w:r>
      <w:r w:rsidR="00C03195" w:rsidRPr="00920C0A">
        <w:rPr>
          <w:b w:val="0"/>
          <w:szCs w:val="28"/>
        </w:rPr>
        <w:t>,</w:t>
      </w:r>
      <w:r w:rsidR="00126D62" w:rsidRPr="00920C0A">
        <w:rPr>
          <w:b w:val="0"/>
          <w:szCs w:val="28"/>
        </w:rPr>
        <w:t xml:space="preserve"> </w:t>
      </w:r>
      <w:r w:rsidR="0086426A" w:rsidRPr="00920C0A">
        <w:rPr>
          <w:b w:val="0"/>
          <w:szCs w:val="28"/>
        </w:rPr>
        <w:t xml:space="preserve">83, </w:t>
      </w:r>
      <w:r w:rsidR="00126D62" w:rsidRPr="00920C0A">
        <w:rPr>
          <w:b w:val="0"/>
          <w:szCs w:val="28"/>
        </w:rPr>
        <w:t xml:space="preserve">86 Закону України „Про Конституційний Суд України“, </w:t>
      </w:r>
      <w:r w:rsidR="002E3E59" w:rsidRPr="00920C0A">
        <w:rPr>
          <w:b w:val="0"/>
          <w:szCs w:val="28"/>
        </w:rPr>
        <w:t xml:space="preserve">відповідно до </w:t>
      </w:r>
      <w:r w:rsidR="00126D62" w:rsidRPr="00920C0A">
        <w:rPr>
          <w:b w:val="0"/>
          <w:szCs w:val="28"/>
        </w:rPr>
        <w:t>§ 45, § 56 Регламент</w:t>
      </w:r>
      <w:r w:rsidR="00922461" w:rsidRPr="00920C0A">
        <w:rPr>
          <w:b w:val="0"/>
          <w:szCs w:val="28"/>
        </w:rPr>
        <w:t>у Конституційного Суду України Третя колегія суддів Першого</w:t>
      </w:r>
      <w:r w:rsidR="00126D62" w:rsidRPr="00920C0A">
        <w:rPr>
          <w:b w:val="0"/>
          <w:szCs w:val="28"/>
        </w:rPr>
        <w:t xml:space="preserve"> сенату Конституційного Суду України</w:t>
      </w:r>
    </w:p>
    <w:p w:rsidR="00BF1D08" w:rsidRPr="00920C0A" w:rsidRDefault="00BF1D08" w:rsidP="00920C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D62" w:rsidRPr="00920C0A" w:rsidRDefault="00126D62" w:rsidP="00920C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0C0A">
        <w:rPr>
          <w:b/>
          <w:sz w:val="28"/>
          <w:szCs w:val="28"/>
          <w:lang w:val="uk-UA"/>
        </w:rPr>
        <w:t>у х в а л и л а:</w:t>
      </w:r>
    </w:p>
    <w:p w:rsidR="00126D62" w:rsidRPr="00920C0A" w:rsidRDefault="00126D62" w:rsidP="00920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6D62" w:rsidRPr="00920C0A" w:rsidRDefault="00126D62" w:rsidP="00920C0A">
      <w:pPr>
        <w:pStyle w:val="a5"/>
        <w:spacing w:line="360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920C0A">
        <w:rPr>
          <w:b w:val="0"/>
          <w:szCs w:val="28"/>
        </w:rPr>
        <w:t xml:space="preserve">скаргою </w:t>
      </w:r>
      <w:r w:rsidR="00641264" w:rsidRPr="00920C0A">
        <w:rPr>
          <w:b w:val="0"/>
          <w:szCs w:val="28"/>
        </w:rPr>
        <w:t>Плескача В’ячеслава Юрійовича</w:t>
      </w:r>
      <w:r w:rsidR="00A750DD" w:rsidRPr="00920C0A">
        <w:rPr>
          <w:b w:val="0"/>
          <w:szCs w:val="28"/>
        </w:rPr>
        <w:t xml:space="preserve"> </w:t>
      </w:r>
      <w:r w:rsidR="00FF23E4" w:rsidRPr="00920C0A">
        <w:rPr>
          <w:b w:val="0"/>
          <w:szCs w:val="28"/>
        </w:rPr>
        <w:t>щодо відповідності</w:t>
      </w:r>
      <w:r w:rsidR="006F79A9" w:rsidRPr="00920C0A">
        <w:rPr>
          <w:b w:val="0"/>
          <w:szCs w:val="28"/>
        </w:rPr>
        <w:t xml:space="preserve"> </w:t>
      </w:r>
      <w:r w:rsidR="00FF23E4" w:rsidRPr="00920C0A">
        <w:rPr>
          <w:b w:val="0"/>
          <w:szCs w:val="28"/>
        </w:rPr>
        <w:t>Конституції України</w:t>
      </w:r>
      <w:r w:rsidR="006F79A9" w:rsidRPr="00920C0A">
        <w:rPr>
          <w:b w:val="0"/>
          <w:szCs w:val="28"/>
        </w:rPr>
        <w:t xml:space="preserve"> </w:t>
      </w:r>
      <w:r w:rsidR="000A0C8C" w:rsidRPr="00920C0A">
        <w:rPr>
          <w:b w:val="0"/>
          <w:szCs w:val="28"/>
        </w:rPr>
        <w:t>(конституційності)</w:t>
      </w:r>
      <w:r w:rsidR="006F79A9" w:rsidRPr="00920C0A">
        <w:rPr>
          <w:b w:val="0"/>
          <w:szCs w:val="28"/>
        </w:rPr>
        <w:t xml:space="preserve"> </w:t>
      </w:r>
      <w:r w:rsidR="004B78F7" w:rsidRPr="00920C0A">
        <w:rPr>
          <w:b w:val="0"/>
          <w:szCs w:val="28"/>
        </w:rPr>
        <w:t>положен</w:t>
      </w:r>
      <w:r w:rsidR="00641264" w:rsidRPr="00920C0A">
        <w:rPr>
          <w:b w:val="0"/>
          <w:szCs w:val="28"/>
        </w:rPr>
        <w:t>ь</w:t>
      </w:r>
      <w:r w:rsidR="004B78F7" w:rsidRPr="00920C0A">
        <w:rPr>
          <w:b w:val="0"/>
          <w:szCs w:val="28"/>
        </w:rPr>
        <w:t xml:space="preserve"> </w:t>
      </w:r>
      <w:r w:rsidR="00641264" w:rsidRPr="00920C0A">
        <w:rPr>
          <w:b w:val="0"/>
          <w:szCs w:val="28"/>
        </w:rPr>
        <w:t>частини другої статті 293, частини першої статті 294, частини першої, абзацу другого частини п’ятої, частини шостої статті 383 Кодексу адміністративного судочинства України</w:t>
      </w:r>
      <w:r w:rsidR="00CF1053" w:rsidRPr="00920C0A">
        <w:rPr>
          <w:b w:val="0"/>
          <w:szCs w:val="28"/>
        </w:rPr>
        <w:t xml:space="preserve"> н</w:t>
      </w:r>
      <w:r w:rsidRPr="00920C0A">
        <w:rPr>
          <w:b w:val="0"/>
          <w:szCs w:val="28"/>
        </w:rPr>
        <w:t xml:space="preserve">а підставі </w:t>
      </w:r>
      <w:r w:rsidR="00E1546F" w:rsidRPr="00920C0A">
        <w:rPr>
          <w:b w:val="0"/>
          <w:szCs w:val="28"/>
        </w:rPr>
        <w:t>пункт</w:t>
      </w:r>
      <w:r w:rsidR="00641264" w:rsidRPr="00920C0A">
        <w:rPr>
          <w:b w:val="0"/>
          <w:szCs w:val="28"/>
        </w:rPr>
        <w:t>ів 1, 4</w:t>
      </w:r>
      <w:r w:rsidR="00F408AD" w:rsidRPr="00920C0A">
        <w:rPr>
          <w:b w:val="0"/>
          <w:szCs w:val="28"/>
        </w:rPr>
        <w:t xml:space="preserve"> статті 62 Закону України „Про Конституційний Суд України“</w:t>
      </w:r>
      <w:r w:rsidR="00841E39" w:rsidRPr="00920C0A">
        <w:rPr>
          <w:b w:val="0"/>
          <w:szCs w:val="28"/>
        </w:rPr>
        <w:t xml:space="preserve"> </w:t>
      </w:r>
      <w:r w:rsidR="00F408AD" w:rsidRPr="00920C0A">
        <w:rPr>
          <w:b w:val="0"/>
          <w:szCs w:val="28"/>
        </w:rPr>
        <w:t>–</w:t>
      </w:r>
      <w:r w:rsidR="0086426A" w:rsidRPr="00920C0A">
        <w:rPr>
          <w:b w:val="0"/>
          <w:szCs w:val="28"/>
        </w:rPr>
        <w:t xml:space="preserve"> </w:t>
      </w:r>
      <w:r w:rsidR="00641264" w:rsidRPr="00920C0A">
        <w:rPr>
          <w:b w:val="0"/>
          <w:szCs w:val="28"/>
        </w:rPr>
        <w:t xml:space="preserve">звернення до Конституційного Суду України неналежним суб’єктом; </w:t>
      </w:r>
      <w:r w:rsidR="00F408AD" w:rsidRPr="00920C0A">
        <w:rPr>
          <w:b w:val="0"/>
          <w:szCs w:val="28"/>
        </w:rPr>
        <w:t>неприйнятність конституційної скарги.</w:t>
      </w:r>
    </w:p>
    <w:p w:rsidR="00126D62" w:rsidRPr="00920C0A" w:rsidRDefault="00126D62" w:rsidP="00920C0A">
      <w:pPr>
        <w:pStyle w:val="a5"/>
        <w:spacing w:line="360" w:lineRule="auto"/>
        <w:ind w:firstLine="709"/>
        <w:rPr>
          <w:b w:val="0"/>
          <w:szCs w:val="28"/>
        </w:rPr>
      </w:pPr>
    </w:p>
    <w:p w:rsidR="00126D62" w:rsidRPr="00920C0A" w:rsidRDefault="00FF23E4" w:rsidP="00920C0A">
      <w:pPr>
        <w:pStyle w:val="a5"/>
        <w:spacing w:line="360" w:lineRule="auto"/>
        <w:ind w:firstLine="709"/>
        <w:rPr>
          <w:b w:val="0"/>
          <w:szCs w:val="28"/>
        </w:rPr>
      </w:pPr>
      <w:r w:rsidRPr="00920C0A">
        <w:rPr>
          <w:b w:val="0"/>
          <w:szCs w:val="28"/>
        </w:rPr>
        <w:t xml:space="preserve">2. </w:t>
      </w:r>
      <w:r w:rsidR="00126D62" w:rsidRPr="00920C0A">
        <w:rPr>
          <w:b w:val="0"/>
          <w:szCs w:val="28"/>
        </w:rPr>
        <w:t xml:space="preserve">Ухвала </w:t>
      </w:r>
      <w:r w:rsidR="001C677E" w:rsidRPr="00920C0A">
        <w:rPr>
          <w:b w:val="0"/>
          <w:szCs w:val="28"/>
        </w:rPr>
        <w:t xml:space="preserve">Третьої </w:t>
      </w:r>
      <w:r w:rsidRPr="00920C0A">
        <w:rPr>
          <w:b w:val="0"/>
          <w:szCs w:val="28"/>
        </w:rPr>
        <w:t xml:space="preserve">колегії суддів </w:t>
      </w:r>
      <w:r w:rsidR="001C677E" w:rsidRPr="00920C0A">
        <w:rPr>
          <w:b w:val="0"/>
          <w:szCs w:val="28"/>
        </w:rPr>
        <w:t>Перш</w:t>
      </w:r>
      <w:r w:rsidRPr="00920C0A">
        <w:rPr>
          <w:b w:val="0"/>
          <w:szCs w:val="28"/>
        </w:rPr>
        <w:t>ого сенату Конституційного Суду України</w:t>
      </w:r>
      <w:r w:rsidR="00126D62" w:rsidRPr="00920C0A">
        <w:rPr>
          <w:b w:val="0"/>
          <w:szCs w:val="28"/>
        </w:rPr>
        <w:t xml:space="preserve"> </w:t>
      </w:r>
      <w:r w:rsidRPr="00920C0A">
        <w:rPr>
          <w:b w:val="0"/>
          <w:szCs w:val="28"/>
        </w:rPr>
        <w:t xml:space="preserve">є </w:t>
      </w:r>
      <w:r w:rsidR="00126D62" w:rsidRPr="00920C0A">
        <w:rPr>
          <w:b w:val="0"/>
          <w:szCs w:val="28"/>
        </w:rPr>
        <w:t>остаточною.</w:t>
      </w:r>
    </w:p>
    <w:p w:rsidR="00515D53" w:rsidRDefault="00515D53" w:rsidP="00500C13">
      <w:pPr>
        <w:pStyle w:val="a5"/>
        <w:ind w:firstLine="0"/>
        <w:rPr>
          <w:b w:val="0"/>
          <w:szCs w:val="28"/>
        </w:rPr>
      </w:pPr>
    </w:p>
    <w:p w:rsidR="00500C13" w:rsidRPr="00500C13" w:rsidRDefault="00500C13" w:rsidP="00500C13">
      <w:pPr>
        <w:pStyle w:val="a5"/>
        <w:ind w:firstLine="0"/>
        <w:rPr>
          <w:b w:val="0"/>
          <w:szCs w:val="28"/>
        </w:rPr>
      </w:pPr>
    </w:p>
    <w:p w:rsidR="00500C13" w:rsidRPr="00500C13" w:rsidRDefault="00500C13" w:rsidP="00500C13">
      <w:pPr>
        <w:pStyle w:val="a5"/>
        <w:ind w:left="2836" w:firstLine="0"/>
        <w:rPr>
          <w:b w:val="0"/>
          <w:szCs w:val="28"/>
        </w:rPr>
      </w:pPr>
    </w:p>
    <w:p w:rsidR="00500C13" w:rsidRPr="00500C13" w:rsidRDefault="00500C13" w:rsidP="00500C13">
      <w:pPr>
        <w:ind w:left="2836" w:firstLine="720"/>
        <w:jc w:val="center"/>
        <w:rPr>
          <w:b/>
          <w:sz w:val="28"/>
          <w:szCs w:val="28"/>
        </w:rPr>
      </w:pPr>
      <w:r w:rsidRPr="00500C13">
        <w:rPr>
          <w:b/>
          <w:sz w:val="28"/>
          <w:szCs w:val="28"/>
        </w:rPr>
        <w:t>ТРЕТЯ КОЛЕГІЯ СУДДІВ</w:t>
      </w:r>
    </w:p>
    <w:p w:rsidR="00500C13" w:rsidRPr="00500C13" w:rsidRDefault="00500C13" w:rsidP="00500C13">
      <w:pPr>
        <w:ind w:left="2836" w:firstLine="720"/>
        <w:jc w:val="center"/>
        <w:rPr>
          <w:b/>
          <w:sz w:val="28"/>
          <w:szCs w:val="28"/>
        </w:rPr>
      </w:pPr>
      <w:r w:rsidRPr="00500C13">
        <w:rPr>
          <w:b/>
          <w:sz w:val="28"/>
          <w:szCs w:val="28"/>
        </w:rPr>
        <w:t>ПЕРШОГО СЕНАТУ</w:t>
      </w:r>
    </w:p>
    <w:p w:rsidR="00500C13" w:rsidRPr="00500C13" w:rsidRDefault="00500C13" w:rsidP="00500C13">
      <w:pPr>
        <w:ind w:left="2836" w:firstLine="720"/>
        <w:jc w:val="center"/>
        <w:rPr>
          <w:b/>
          <w:sz w:val="28"/>
          <w:szCs w:val="28"/>
        </w:rPr>
      </w:pPr>
      <w:r w:rsidRPr="00500C13">
        <w:rPr>
          <w:b/>
          <w:sz w:val="28"/>
          <w:szCs w:val="28"/>
        </w:rPr>
        <w:t>КОНСТИТУЦІЙНОГО СУДУ УКРАЇНИ</w:t>
      </w:r>
    </w:p>
    <w:p w:rsidR="00500C13" w:rsidRPr="00500C13" w:rsidRDefault="00500C13" w:rsidP="00500C13">
      <w:pPr>
        <w:pStyle w:val="a5"/>
        <w:ind w:firstLine="0"/>
        <w:rPr>
          <w:b w:val="0"/>
          <w:szCs w:val="28"/>
          <w:lang w:val="ru-RU"/>
        </w:rPr>
      </w:pPr>
    </w:p>
    <w:p w:rsidR="00500C13" w:rsidRDefault="00500C13" w:rsidP="00500C13">
      <w:pPr>
        <w:pStyle w:val="a5"/>
        <w:ind w:firstLine="0"/>
        <w:rPr>
          <w:b w:val="0"/>
          <w:szCs w:val="28"/>
        </w:rPr>
      </w:pPr>
    </w:p>
    <w:p w:rsidR="00747BF0" w:rsidRPr="00920C0A" w:rsidRDefault="00747BF0" w:rsidP="00920C0A">
      <w:pPr>
        <w:pStyle w:val="a5"/>
        <w:ind w:firstLine="709"/>
        <w:rPr>
          <w:b w:val="0"/>
          <w:szCs w:val="28"/>
        </w:rPr>
      </w:pPr>
    </w:p>
    <w:sectPr w:rsidR="00747BF0" w:rsidRPr="00920C0A" w:rsidSect="00920C0A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5F" w:rsidRDefault="00EF515F">
      <w:r>
        <w:separator/>
      </w:r>
    </w:p>
  </w:endnote>
  <w:endnote w:type="continuationSeparator" w:id="0">
    <w:p w:rsidR="00EF515F" w:rsidRDefault="00EF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0A" w:rsidRPr="00920C0A" w:rsidRDefault="00920C0A">
    <w:pPr>
      <w:pStyle w:val="aa"/>
      <w:rPr>
        <w:sz w:val="10"/>
        <w:szCs w:val="10"/>
        <w:lang w:val="en-US"/>
      </w:rPr>
    </w:pPr>
    <w:r w:rsidRPr="00920C0A">
      <w:rPr>
        <w:sz w:val="10"/>
        <w:szCs w:val="10"/>
      </w:rPr>
      <w:fldChar w:fldCharType="begin"/>
    </w:r>
    <w:r w:rsidRPr="00920C0A">
      <w:rPr>
        <w:sz w:val="10"/>
        <w:szCs w:val="10"/>
        <w:lang w:val="uk-UA"/>
      </w:rPr>
      <w:instrText xml:space="preserve"> FILENAME \p \* MERGEFORMAT </w:instrText>
    </w:r>
    <w:r w:rsidRPr="00920C0A">
      <w:rPr>
        <w:sz w:val="10"/>
        <w:szCs w:val="10"/>
      </w:rPr>
      <w:fldChar w:fldCharType="separate"/>
    </w:r>
    <w:r w:rsidR="00500C13">
      <w:rPr>
        <w:noProof/>
        <w:sz w:val="10"/>
        <w:szCs w:val="10"/>
        <w:lang w:val="uk-UA"/>
      </w:rPr>
      <w:t>G:\2022\Suddi\I senat\III koleg\19.docx</w:t>
    </w:r>
    <w:r w:rsidRPr="00920C0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0A" w:rsidRPr="00920C0A" w:rsidRDefault="00920C0A">
    <w:pPr>
      <w:pStyle w:val="aa"/>
      <w:rPr>
        <w:sz w:val="10"/>
        <w:szCs w:val="10"/>
        <w:lang w:val="en-US"/>
      </w:rPr>
    </w:pPr>
    <w:r w:rsidRPr="00920C0A">
      <w:rPr>
        <w:sz w:val="10"/>
        <w:szCs w:val="10"/>
      </w:rPr>
      <w:fldChar w:fldCharType="begin"/>
    </w:r>
    <w:r w:rsidRPr="00920C0A">
      <w:rPr>
        <w:sz w:val="10"/>
        <w:szCs w:val="10"/>
        <w:lang w:val="uk-UA"/>
      </w:rPr>
      <w:instrText xml:space="preserve"> FILENAME \p \* MERGEFORMAT </w:instrText>
    </w:r>
    <w:r w:rsidRPr="00920C0A">
      <w:rPr>
        <w:sz w:val="10"/>
        <w:szCs w:val="10"/>
      </w:rPr>
      <w:fldChar w:fldCharType="separate"/>
    </w:r>
    <w:r w:rsidR="00500C13">
      <w:rPr>
        <w:noProof/>
        <w:sz w:val="10"/>
        <w:szCs w:val="10"/>
        <w:lang w:val="uk-UA"/>
      </w:rPr>
      <w:t>G:\2022\Suddi\I senat\III koleg\19.docx</w:t>
    </w:r>
    <w:r w:rsidRPr="00920C0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5F" w:rsidRDefault="00EF515F">
      <w:r>
        <w:separator/>
      </w:r>
    </w:p>
  </w:footnote>
  <w:footnote w:type="continuationSeparator" w:id="0">
    <w:p w:rsidR="00EF515F" w:rsidRDefault="00EF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862329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DF61D7"/>
    <w:multiLevelType w:val="hybridMultilevel"/>
    <w:tmpl w:val="6E80B45A"/>
    <w:lvl w:ilvl="0" w:tplc="5C6C216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0385C"/>
    <w:rsid w:val="000110CA"/>
    <w:rsid w:val="00023A9C"/>
    <w:rsid w:val="00023B17"/>
    <w:rsid w:val="0002751C"/>
    <w:rsid w:val="00027DFB"/>
    <w:rsid w:val="00030800"/>
    <w:rsid w:val="0004068E"/>
    <w:rsid w:val="00044D8D"/>
    <w:rsid w:val="00055AF8"/>
    <w:rsid w:val="0005716A"/>
    <w:rsid w:val="00060423"/>
    <w:rsid w:val="000668C0"/>
    <w:rsid w:val="0006696E"/>
    <w:rsid w:val="000676A3"/>
    <w:rsid w:val="00070652"/>
    <w:rsid w:val="00081771"/>
    <w:rsid w:val="000830EA"/>
    <w:rsid w:val="000852AF"/>
    <w:rsid w:val="000855D1"/>
    <w:rsid w:val="0008730B"/>
    <w:rsid w:val="000873FC"/>
    <w:rsid w:val="00087F83"/>
    <w:rsid w:val="000A0C8C"/>
    <w:rsid w:val="000B182F"/>
    <w:rsid w:val="000B3BED"/>
    <w:rsid w:val="000C331A"/>
    <w:rsid w:val="000C416E"/>
    <w:rsid w:val="000C574A"/>
    <w:rsid w:val="000D1641"/>
    <w:rsid w:val="000D2182"/>
    <w:rsid w:val="000E1A82"/>
    <w:rsid w:val="000E3E3F"/>
    <w:rsid w:val="000F4547"/>
    <w:rsid w:val="000F4BD0"/>
    <w:rsid w:val="000F5130"/>
    <w:rsid w:val="000F5C9E"/>
    <w:rsid w:val="0010290C"/>
    <w:rsid w:val="00102B65"/>
    <w:rsid w:val="0010646C"/>
    <w:rsid w:val="00107261"/>
    <w:rsid w:val="00110755"/>
    <w:rsid w:val="0011462D"/>
    <w:rsid w:val="0011565E"/>
    <w:rsid w:val="00117C76"/>
    <w:rsid w:val="00123A28"/>
    <w:rsid w:val="00126D62"/>
    <w:rsid w:val="001273AB"/>
    <w:rsid w:val="00130FF8"/>
    <w:rsid w:val="00153635"/>
    <w:rsid w:val="00156E70"/>
    <w:rsid w:val="0016180C"/>
    <w:rsid w:val="00165951"/>
    <w:rsid w:val="00172E0C"/>
    <w:rsid w:val="00175EB1"/>
    <w:rsid w:val="00187D07"/>
    <w:rsid w:val="00194CBB"/>
    <w:rsid w:val="00195512"/>
    <w:rsid w:val="001A3743"/>
    <w:rsid w:val="001A4EC7"/>
    <w:rsid w:val="001A5C90"/>
    <w:rsid w:val="001A612C"/>
    <w:rsid w:val="001A72CC"/>
    <w:rsid w:val="001A7AC3"/>
    <w:rsid w:val="001B0590"/>
    <w:rsid w:val="001B5B5A"/>
    <w:rsid w:val="001C01DA"/>
    <w:rsid w:val="001C0B42"/>
    <w:rsid w:val="001C1B81"/>
    <w:rsid w:val="001C677E"/>
    <w:rsid w:val="001C7241"/>
    <w:rsid w:val="001D0012"/>
    <w:rsid w:val="001D4681"/>
    <w:rsid w:val="001D4DAF"/>
    <w:rsid w:val="001E60B1"/>
    <w:rsid w:val="001F09D8"/>
    <w:rsid w:val="001F6454"/>
    <w:rsid w:val="001F6B64"/>
    <w:rsid w:val="0020799B"/>
    <w:rsid w:val="00236476"/>
    <w:rsid w:val="002407B9"/>
    <w:rsid w:val="00242015"/>
    <w:rsid w:val="00245588"/>
    <w:rsid w:val="002512C8"/>
    <w:rsid w:val="002555ED"/>
    <w:rsid w:val="0025598B"/>
    <w:rsid w:val="002638A5"/>
    <w:rsid w:val="00264C92"/>
    <w:rsid w:val="00277ABA"/>
    <w:rsid w:val="0028271A"/>
    <w:rsid w:val="00283EB5"/>
    <w:rsid w:val="0028402F"/>
    <w:rsid w:val="00284BE4"/>
    <w:rsid w:val="00291539"/>
    <w:rsid w:val="002A1A52"/>
    <w:rsid w:val="002A63D3"/>
    <w:rsid w:val="002A72A2"/>
    <w:rsid w:val="002B7DFF"/>
    <w:rsid w:val="002C2675"/>
    <w:rsid w:val="002C5D04"/>
    <w:rsid w:val="002D034A"/>
    <w:rsid w:val="002D1536"/>
    <w:rsid w:val="002D3FFD"/>
    <w:rsid w:val="002E3E59"/>
    <w:rsid w:val="002E5DD8"/>
    <w:rsid w:val="002F1073"/>
    <w:rsid w:val="00300EAE"/>
    <w:rsid w:val="00303088"/>
    <w:rsid w:val="003030CA"/>
    <w:rsid w:val="003033CD"/>
    <w:rsid w:val="00303FA3"/>
    <w:rsid w:val="00305C68"/>
    <w:rsid w:val="00310437"/>
    <w:rsid w:val="003122F0"/>
    <w:rsid w:val="003137E6"/>
    <w:rsid w:val="003222EB"/>
    <w:rsid w:val="0032548D"/>
    <w:rsid w:val="0033052A"/>
    <w:rsid w:val="0033311B"/>
    <w:rsid w:val="00334159"/>
    <w:rsid w:val="00334E07"/>
    <w:rsid w:val="00336F41"/>
    <w:rsid w:val="00337CF2"/>
    <w:rsid w:val="00344AD9"/>
    <w:rsid w:val="00347493"/>
    <w:rsid w:val="003509D7"/>
    <w:rsid w:val="003527D3"/>
    <w:rsid w:val="003557B6"/>
    <w:rsid w:val="00382A79"/>
    <w:rsid w:val="00384EB6"/>
    <w:rsid w:val="00385BBC"/>
    <w:rsid w:val="00390B88"/>
    <w:rsid w:val="0039330C"/>
    <w:rsid w:val="00393EE5"/>
    <w:rsid w:val="003959FD"/>
    <w:rsid w:val="003A5465"/>
    <w:rsid w:val="003A6FBE"/>
    <w:rsid w:val="003B062B"/>
    <w:rsid w:val="003B23C4"/>
    <w:rsid w:val="003B714C"/>
    <w:rsid w:val="003C4728"/>
    <w:rsid w:val="003D1BB2"/>
    <w:rsid w:val="003D45FF"/>
    <w:rsid w:val="003D5B35"/>
    <w:rsid w:val="003E0B3D"/>
    <w:rsid w:val="003F280C"/>
    <w:rsid w:val="003F4C83"/>
    <w:rsid w:val="003F4CEA"/>
    <w:rsid w:val="003F51DC"/>
    <w:rsid w:val="003F54D8"/>
    <w:rsid w:val="003F795F"/>
    <w:rsid w:val="00400DC5"/>
    <w:rsid w:val="00405B5F"/>
    <w:rsid w:val="0041157D"/>
    <w:rsid w:val="004132C3"/>
    <w:rsid w:val="00432F47"/>
    <w:rsid w:val="0043507F"/>
    <w:rsid w:val="004360B1"/>
    <w:rsid w:val="00436473"/>
    <w:rsid w:val="00440221"/>
    <w:rsid w:val="0044049B"/>
    <w:rsid w:val="00441200"/>
    <w:rsid w:val="0044303F"/>
    <w:rsid w:val="0046551A"/>
    <w:rsid w:val="00475019"/>
    <w:rsid w:val="00480A65"/>
    <w:rsid w:val="004825ED"/>
    <w:rsid w:val="004957B7"/>
    <w:rsid w:val="004A1406"/>
    <w:rsid w:val="004A40DC"/>
    <w:rsid w:val="004A6E38"/>
    <w:rsid w:val="004A7D27"/>
    <w:rsid w:val="004B0BDE"/>
    <w:rsid w:val="004B0D42"/>
    <w:rsid w:val="004B78F7"/>
    <w:rsid w:val="004C2EEB"/>
    <w:rsid w:val="004C58A0"/>
    <w:rsid w:val="004C5D55"/>
    <w:rsid w:val="004C60FA"/>
    <w:rsid w:val="004C636A"/>
    <w:rsid w:val="004D1315"/>
    <w:rsid w:val="004D5930"/>
    <w:rsid w:val="004D61D0"/>
    <w:rsid w:val="004E0EDA"/>
    <w:rsid w:val="004F0C17"/>
    <w:rsid w:val="004F3566"/>
    <w:rsid w:val="004F47AC"/>
    <w:rsid w:val="00500C13"/>
    <w:rsid w:val="00502C75"/>
    <w:rsid w:val="00504001"/>
    <w:rsid w:val="00505FA2"/>
    <w:rsid w:val="005117BD"/>
    <w:rsid w:val="00513B78"/>
    <w:rsid w:val="00513DE2"/>
    <w:rsid w:val="00515D53"/>
    <w:rsid w:val="00515FF5"/>
    <w:rsid w:val="005219EB"/>
    <w:rsid w:val="00525F3F"/>
    <w:rsid w:val="00527EBF"/>
    <w:rsid w:val="00527FAC"/>
    <w:rsid w:val="00531A95"/>
    <w:rsid w:val="00540474"/>
    <w:rsid w:val="00540E0F"/>
    <w:rsid w:val="00546D13"/>
    <w:rsid w:val="00557D31"/>
    <w:rsid w:val="00562109"/>
    <w:rsid w:val="0056272A"/>
    <w:rsid w:val="00567034"/>
    <w:rsid w:val="00583B0E"/>
    <w:rsid w:val="00585420"/>
    <w:rsid w:val="00596294"/>
    <w:rsid w:val="005A47DE"/>
    <w:rsid w:val="005A6197"/>
    <w:rsid w:val="005B0B27"/>
    <w:rsid w:val="005B23F0"/>
    <w:rsid w:val="005B4F2D"/>
    <w:rsid w:val="005B694D"/>
    <w:rsid w:val="005D3BEC"/>
    <w:rsid w:val="005E639A"/>
    <w:rsid w:val="005F62F6"/>
    <w:rsid w:val="005F6317"/>
    <w:rsid w:val="00607726"/>
    <w:rsid w:val="00611CF4"/>
    <w:rsid w:val="00616A15"/>
    <w:rsid w:val="006210DA"/>
    <w:rsid w:val="00621815"/>
    <w:rsid w:val="0062258F"/>
    <w:rsid w:val="00624FC2"/>
    <w:rsid w:val="00625AF8"/>
    <w:rsid w:val="0062665E"/>
    <w:rsid w:val="00631755"/>
    <w:rsid w:val="00633A28"/>
    <w:rsid w:val="00634E59"/>
    <w:rsid w:val="00635586"/>
    <w:rsid w:val="00636175"/>
    <w:rsid w:val="0064085E"/>
    <w:rsid w:val="00641264"/>
    <w:rsid w:val="006413EB"/>
    <w:rsid w:val="00646FCA"/>
    <w:rsid w:val="0065582A"/>
    <w:rsid w:val="006612C6"/>
    <w:rsid w:val="00662055"/>
    <w:rsid w:val="006635CF"/>
    <w:rsid w:val="00663A68"/>
    <w:rsid w:val="00664FB0"/>
    <w:rsid w:val="0067018F"/>
    <w:rsid w:val="00671C92"/>
    <w:rsid w:val="006801EA"/>
    <w:rsid w:val="006844AC"/>
    <w:rsid w:val="00685C88"/>
    <w:rsid w:val="006877AC"/>
    <w:rsid w:val="006964B5"/>
    <w:rsid w:val="006A19D1"/>
    <w:rsid w:val="006A7901"/>
    <w:rsid w:val="006B5181"/>
    <w:rsid w:val="006B78E1"/>
    <w:rsid w:val="006C0C1C"/>
    <w:rsid w:val="006C3365"/>
    <w:rsid w:val="006D6886"/>
    <w:rsid w:val="006E45BE"/>
    <w:rsid w:val="006E6474"/>
    <w:rsid w:val="006F65DB"/>
    <w:rsid w:val="006F6B2D"/>
    <w:rsid w:val="006F79A9"/>
    <w:rsid w:val="00700310"/>
    <w:rsid w:val="00707492"/>
    <w:rsid w:val="00713427"/>
    <w:rsid w:val="007206DF"/>
    <w:rsid w:val="00720AEF"/>
    <w:rsid w:val="00721067"/>
    <w:rsid w:val="0072109D"/>
    <w:rsid w:val="00725F65"/>
    <w:rsid w:val="00747BF0"/>
    <w:rsid w:val="00756C0E"/>
    <w:rsid w:val="007621AC"/>
    <w:rsid w:val="007628E2"/>
    <w:rsid w:val="007672D9"/>
    <w:rsid w:val="00771516"/>
    <w:rsid w:val="00780100"/>
    <w:rsid w:val="007827FE"/>
    <w:rsid w:val="00786B66"/>
    <w:rsid w:val="00787E5E"/>
    <w:rsid w:val="007910FE"/>
    <w:rsid w:val="007943FE"/>
    <w:rsid w:val="0079690F"/>
    <w:rsid w:val="007A135E"/>
    <w:rsid w:val="007A1E01"/>
    <w:rsid w:val="007A77FC"/>
    <w:rsid w:val="007C130B"/>
    <w:rsid w:val="007C5AD3"/>
    <w:rsid w:val="007C6588"/>
    <w:rsid w:val="007C78E5"/>
    <w:rsid w:val="007D1C64"/>
    <w:rsid w:val="007D64A5"/>
    <w:rsid w:val="007D780D"/>
    <w:rsid w:val="007F2DC5"/>
    <w:rsid w:val="007F3BE7"/>
    <w:rsid w:val="007F41CB"/>
    <w:rsid w:val="007F5CAF"/>
    <w:rsid w:val="00814689"/>
    <w:rsid w:val="00824200"/>
    <w:rsid w:val="008310E2"/>
    <w:rsid w:val="00835FDC"/>
    <w:rsid w:val="00840E3C"/>
    <w:rsid w:val="00841E39"/>
    <w:rsid w:val="00855A12"/>
    <w:rsid w:val="00856746"/>
    <w:rsid w:val="00857506"/>
    <w:rsid w:val="00857607"/>
    <w:rsid w:val="00860497"/>
    <w:rsid w:val="00861527"/>
    <w:rsid w:val="00861ECD"/>
    <w:rsid w:val="00862329"/>
    <w:rsid w:val="00862C77"/>
    <w:rsid w:val="0086426A"/>
    <w:rsid w:val="0087283E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5850"/>
    <w:rsid w:val="008C792A"/>
    <w:rsid w:val="008D4478"/>
    <w:rsid w:val="008D5F28"/>
    <w:rsid w:val="008E4554"/>
    <w:rsid w:val="008F13D5"/>
    <w:rsid w:val="008F415F"/>
    <w:rsid w:val="008F6F03"/>
    <w:rsid w:val="00900E23"/>
    <w:rsid w:val="009018BC"/>
    <w:rsid w:val="009019A1"/>
    <w:rsid w:val="00903C07"/>
    <w:rsid w:val="00907CE7"/>
    <w:rsid w:val="00912C41"/>
    <w:rsid w:val="009149F4"/>
    <w:rsid w:val="00917C52"/>
    <w:rsid w:val="00920C0A"/>
    <w:rsid w:val="00922461"/>
    <w:rsid w:val="00927519"/>
    <w:rsid w:val="00932CBB"/>
    <w:rsid w:val="00950E3B"/>
    <w:rsid w:val="00955AF3"/>
    <w:rsid w:val="009563C0"/>
    <w:rsid w:val="00964AA9"/>
    <w:rsid w:val="00964EC7"/>
    <w:rsid w:val="00965B46"/>
    <w:rsid w:val="00966B76"/>
    <w:rsid w:val="009670A1"/>
    <w:rsid w:val="009709CA"/>
    <w:rsid w:val="009746AC"/>
    <w:rsid w:val="00990DB8"/>
    <w:rsid w:val="0099149F"/>
    <w:rsid w:val="009948D8"/>
    <w:rsid w:val="00996AA5"/>
    <w:rsid w:val="009A533C"/>
    <w:rsid w:val="009B13C8"/>
    <w:rsid w:val="009B193D"/>
    <w:rsid w:val="009B3177"/>
    <w:rsid w:val="009B3C91"/>
    <w:rsid w:val="009B6EA0"/>
    <w:rsid w:val="009C046F"/>
    <w:rsid w:val="009C07B0"/>
    <w:rsid w:val="009C1ED9"/>
    <w:rsid w:val="009C6C4E"/>
    <w:rsid w:val="009D2092"/>
    <w:rsid w:val="009D20E1"/>
    <w:rsid w:val="009D566E"/>
    <w:rsid w:val="009D74ED"/>
    <w:rsid w:val="009E621A"/>
    <w:rsid w:val="009F267A"/>
    <w:rsid w:val="009F6484"/>
    <w:rsid w:val="00A01F33"/>
    <w:rsid w:val="00A03161"/>
    <w:rsid w:val="00A05003"/>
    <w:rsid w:val="00A06DA8"/>
    <w:rsid w:val="00A21100"/>
    <w:rsid w:val="00A23306"/>
    <w:rsid w:val="00A241D3"/>
    <w:rsid w:val="00A269B7"/>
    <w:rsid w:val="00A26E2A"/>
    <w:rsid w:val="00A3732B"/>
    <w:rsid w:val="00A37AB7"/>
    <w:rsid w:val="00A40B85"/>
    <w:rsid w:val="00A4206E"/>
    <w:rsid w:val="00A47107"/>
    <w:rsid w:val="00A52140"/>
    <w:rsid w:val="00A529B8"/>
    <w:rsid w:val="00A57CF9"/>
    <w:rsid w:val="00A62D95"/>
    <w:rsid w:val="00A63633"/>
    <w:rsid w:val="00A6390A"/>
    <w:rsid w:val="00A66836"/>
    <w:rsid w:val="00A721DA"/>
    <w:rsid w:val="00A73F6C"/>
    <w:rsid w:val="00A750DD"/>
    <w:rsid w:val="00A762BB"/>
    <w:rsid w:val="00A769A2"/>
    <w:rsid w:val="00A80F60"/>
    <w:rsid w:val="00A83B65"/>
    <w:rsid w:val="00A91617"/>
    <w:rsid w:val="00A96FFA"/>
    <w:rsid w:val="00AA3C6C"/>
    <w:rsid w:val="00AB2D12"/>
    <w:rsid w:val="00AB46D8"/>
    <w:rsid w:val="00AC07F6"/>
    <w:rsid w:val="00AC40B1"/>
    <w:rsid w:val="00AC5387"/>
    <w:rsid w:val="00AC5BD0"/>
    <w:rsid w:val="00AC6243"/>
    <w:rsid w:val="00AC6D56"/>
    <w:rsid w:val="00AD0F3A"/>
    <w:rsid w:val="00AD6B2D"/>
    <w:rsid w:val="00AF0A14"/>
    <w:rsid w:val="00AF2CB7"/>
    <w:rsid w:val="00B06319"/>
    <w:rsid w:val="00B06EBF"/>
    <w:rsid w:val="00B11DD0"/>
    <w:rsid w:val="00B22A2D"/>
    <w:rsid w:val="00B35151"/>
    <w:rsid w:val="00B368BF"/>
    <w:rsid w:val="00B3723F"/>
    <w:rsid w:val="00B377C5"/>
    <w:rsid w:val="00B41B62"/>
    <w:rsid w:val="00B45F63"/>
    <w:rsid w:val="00B54859"/>
    <w:rsid w:val="00B54C97"/>
    <w:rsid w:val="00B563DA"/>
    <w:rsid w:val="00B57847"/>
    <w:rsid w:val="00B70F44"/>
    <w:rsid w:val="00B71DA6"/>
    <w:rsid w:val="00B80FFF"/>
    <w:rsid w:val="00B81915"/>
    <w:rsid w:val="00B84189"/>
    <w:rsid w:val="00B902B9"/>
    <w:rsid w:val="00B9324C"/>
    <w:rsid w:val="00B93D58"/>
    <w:rsid w:val="00BA69A7"/>
    <w:rsid w:val="00BB2986"/>
    <w:rsid w:val="00BC3D3C"/>
    <w:rsid w:val="00BC64AA"/>
    <w:rsid w:val="00BD273B"/>
    <w:rsid w:val="00BE09DD"/>
    <w:rsid w:val="00BE28BB"/>
    <w:rsid w:val="00BE60B1"/>
    <w:rsid w:val="00BF1665"/>
    <w:rsid w:val="00BF1D08"/>
    <w:rsid w:val="00BF20A5"/>
    <w:rsid w:val="00C03195"/>
    <w:rsid w:val="00C10FFD"/>
    <w:rsid w:val="00C110F0"/>
    <w:rsid w:val="00C13D3A"/>
    <w:rsid w:val="00C164C0"/>
    <w:rsid w:val="00C22319"/>
    <w:rsid w:val="00C24B96"/>
    <w:rsid w:val="00C32ED6"/>
    <w:rsid w:val="00C3485B"/>
    <w:rsid w:val="00C40FFF"/>
    <w:rsid w:val="00C450FB"/>
    <w:rsid w:val="00C46C7D"/>
    <w:rsid w:val="00C54286"/>
    <w:rsid w:val="00C54C34"/>
    <w:rsid w:val="00C61FDB"/>
    <w:rsid w:val="00C622D2"/>
    <w:rsid w:val="00C640B1"/>
    <w:rsid w:val="00C66969"/>
    <w:rsid w:val="00C73750"/>
    <w:rsid w:val="00C809FE"/>
    <w:rsid w:val="00C81A25"/>
    <w:rsid w:val="00C840A0"/>
    <w:rsid w:val="00C94D64"/>
    <w:rsid w:val="00CA182A"/>
    <w:rsid w:val="00CA7E8E"/>
    <w:rsid w:val="00CB4B7C"/>
    <w:rsid w:val="00CB631A"/>
    <w:rsid w:val="00CC11CD"/>
    <w:rsid w:val="00CD3542"/>
    <w:rsid w:val="00CD4A9E"/>
    <w:rsid w:val="00CD5647"/>
    <w:rsid w:val="00CE063E"/>
    <w:rsid w:val="00CE3C8A"/>
    <w:rsid w:val="00CE45BD"/>
    <w:rsid w:val="00CE7821"/>
    <w:rsid w:val="00CF1053"/>
    <w:rsid w:val="00CF4FCD"/>
    <w:rsid w:val="00CF61E2"/>
    <w:rsid w:val="00D016BD"/>
    <w:rsid w:val="00D13E20"/>
    <w:rsid w:val="00D14935"/>
    <w:rsid w:val="00D162FB"/>
    <w:rsid w:val="00D17728"/>
    <w:rsid w:val="00D17C76"/>
    <w:rsid w:val="00D20225"/>
    <w:rsid w:val="00D210F7"/>
    <w:rsid w:val="00D21788"/>
    <w:rsid w:val="00D34C79"/>
    <w:rsid w:val="00D35ABF"/>
    <w:rsid w:val="00D360D1"/>
    <w:rsid w:val="00D375CA"/>
    <w:rsid w:val="00D452AD"/>
    <w:rsid w:val="00D459B9"/>
    <w:rsid w:val="00D5293D"/>
    <w:rsid w:val="00D530D9"/>
    <w:rsid w:val="00D538E4"/>
    <w:rsid w:val="00D5640B"/>
    <w:rsid w:val="00D60421"/>
    <w:rsid w:val="00D65A70"/>
    <w:rsid w:val="00D71470"/>
    <w:rsid w:val="00D71A57"/>
    <w:rsid w:val="00D75680"/>
    <w:rsid w:val="00D81FBA"/>
    <w:rsid w:val="00D82A90"/>
    <w:rsid w:val="00D83323"/>
    <w:rsid w:val="00D8339D"/>
    <w:rsid w:val="00D91327"/>
    <w:rsid w:val="00D95E43"/>
    <w:rsid w:val="00DA03A1"/>
    <w:rsid w:val="00DA18B7"/>
    <w:rsid w:val="00DA3B7D"/>
    <w:rsid w:val="00DA3E43"/>
    <w:rsid w:val="00DB0996"/>
    <w:rsid w:val="00DB0B2E"/>
    <w:rsid w:val="00DB19B5"/>
    <w:rsid w:val="00DB377D"/>
    <w:rsid w:val="00DB5DFB"/>
    <w:rsid w:val="00DC11A4"/>
    <w:rsid w:val="00DC46CC"/>
    <w:rsid w:val="00DD7DB6"/>
    <w:rsid w:val="00DE44A0"/>
    <w:rsid w:val="00DE5DAC"/>
    <w:rsid w:val="00DE6D2C"/>
    <w:rsid w:val="00DE717F"/>
    <w:rsid w:val="00DF1D71"/>
    <w:rsid w:val="00DF3C52"/>
    <w:rsid w:val="00DF7A8A"/>
    <w:rsid w:val="00E01D85"/>
    <w:rsid w:val="00E05495"/>
    <w:rsid w:val="00E13551"/>
    <w:rsid w:val="00E1546F"/>
    <w:rsid w:val="00E16012"/>
    <w:rsid w:val="00E20730"/>
    <w:rsid w:val="00E20944"/>
    <w:rsid w:val="00E20AB1"/>
    <w:rsid w:val="00E26197"/>
    <w:rsid w:val="00E36AC0"/>
    <w:rsid w:val="00E4057B"/>
    <w:rsid w:val="00E50AE3"/>
    <w:rsid w:val="00E51A4A"/>
    <w:rsid w:val="00E5636F"/>
    <w:rsid w:val="00E57601"/>
    <w:rsid w:val="00E65041"/>
    <w:rsid w:val="00E66034"/>
    <w:rsid w:val="00E703F4"/>
    <w:rsid w:val="00E70A09"/>
    <w:rsid w:val="00E70DEA"/>
    <w:rsid w:val="00E74EED"/>
    <w:rsid w:val="00E77C86"/>
    <w:rsid w:val="00E81502"/>
    <w:rsid w:val="00E855FD"/>
    <w:rsid w:val="00E8560C"/>
    <w:rsid w:val="00E86EF7"/>
    <w:rsid w:val="00E87C5C"/>
    <w:rsid w:val="00E91899"/>
    <w:rsid w:val="00EA1C9F"/>
    <w:rsid w:val="00EB093A"/>
    <w:rsid w:val="00EC342F"/>
    <w:rsid w:val="00EC36DB"/>
    <w:rsid w:val="00EC41D0"/>
    <w:rsid w:val="00EC61ED"/>
    <w:rsid w:val="00ED0024"/>
    <w:rsid w:val="00ED0252"/>
    <w:rsid w:val="00ED4671"/>
    <w:rsid w:val="00ED50F7"/>
    <w:rsid w:val="00ED603C"/>
    <w:rsid w:val="00EF06CE"/>
    <w:rsid w:val="00EF515F"/>
    <w:rsid w:val="00F02B6B"/>
    <w:rsid w:val="00F05E57"/>
    <w:rsid w:val="00F060AE"/>
    <w:rsid w:val="00F06331"/>
    <w:rsid w:val="00F128B3"/>
    <w:rsid w:val="00F14143"/>
    <w:rsid w:val="00F16DA6"/>
    <w:rsid w:val="00F17DD7"/>
    <w:rsid w:val="00F2686B"/>
    <w:rsid w:val="00F30848"/>
    <w:rsid w:val="00F3459A"/>
    <w:rsid w:val="00F3500E"/>
    <w:rsid w:val="00F408AD"/>
    <w:rsid w:val="00F56D14"/>
    <w:rsid w:val="00F63C76"/>
    <w:rsid w:val="00F66049"/>
    <w:rsid w:val="00F67AC7"/>
    <w:rsid w:val="00F67B7B"/>
    <w:rsid w:val="00F730DD"/>
    <w:rsid w:val="00F74E4A"/>
    <w:rsid w:val="00F75A4C"/>
    <w:rsid w:val="00F75E55"/>
    <w:rsid w:val="00F761C3"/>
    <w:rsid w:val="00F86EF3"/>
    <w:rsid w:val="00F87BD9"/>
    <w:rsid w:val="00F9583A"/>
    <w:rsid w:val="00FA30DC"/>
    <w:rsid w:val="00FA35CA"/>
    <w:rsid w:val="00FA48FD"/>
    <w:rsid w:val="00FA507A"/>
    <w:rsid w:val="00FA79F3"/>
    <w:rsid w:val="00FB6DAB"/>
    <w:rsid w:val="00FC0C8B"/>
    <w:rsid w:val="00FC3626"/>
    <w:rsid w:val="00FC3EEA"/>
    <w:rsid w:val="00FE3376"/>
    <w:rsid w:val="00FE4D36"/>
    <w:rsid w:val="00FF01A0"/>
    <w:rsid w:val="00FF23E4"/>
    <w:rsid w:val="00FF32E5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8B618FA-72A1-45D5-B79C-93D74FEB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rsid w:val="007F41CB"/>
  </w:style>
  <w:style w:type="character" w:customStyle="1" w:styleId="rvts11">
    <w:name w:val="rvts11"/>
    <w:rsid w:val="007F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747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B09B-7F7A-4DA9-B8BB-9DE7E8AE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7188</Words>
  <Characters>4098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11264</CharactersWithSpaces>
  <SharedDoc>false</SharedDoc>
  <HLinks>
    <vt:vector size="18" baseType="variant">
      <vt:variant>
        <vt:i4>5701706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n11428</vt:lpwstr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n12552</vt:lpwstr>
      </vt:variant>
      <vt:variant>
        <vt:i4>5701711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n11874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Віктор В. Чередниченко</cp:lastModifiedBy>
  <cp:revision>2</cp:revision>
  <cp:lastPrinted>2022-10-06T11:04:00Z</cp:lastPrinted>
  <dcterms:created xsi:type="dcterms:W3CDTF">2023-08-30T07:26:00Z</dcterms:created>
  <dcterms:modified xsi:type="dcterms:W3CDTF">2023-08-30T07:26:00Z</dcterms:modified>
</cp:coreProperties>
</file>