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24C5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53675205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5972C29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1AEB4E9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4BF6B76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E1D63E3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1107EC3" w14:textId="77777777" w:rsidR="00722B7B" w:rsidRDefault="00722B7B" w:rsidP="00722B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917D5E" w14:textId="642FD760" w:rsidR="003D01B6" w:rsidRPr="00001A69" w:rsidRDefault="003D01B6" w:rsidP="00722B7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A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</w:t>
      </w:r>
      <w:r w:rsidR="00722B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001A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за конституційною скаргою </w:t>
      </w:r>
      <w:r w:rsidR="006409B6" w:rsidRPr="00001A69">
        <w:rPr>
          <w:rFonts w:ascii="Times New Roman" w:hAnsi="Times New Roman" w:cs="Times New Roman"/>
          <w:b/>
          <w:sz w:val="28"/>
          <w:szCs w:val="28"/>
          <w:lang w:val="uk-UA"/>
        </w:rPr>
        <w:t>Полякової Ольги Володимирівни</w:t>
      </w:r>
      <w:r w:rsidR="00834145" w:rsidRPr="00001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другої </w:t>
      </w:r>
      <w:r w:rsidR="00722B7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34145" w:rsidRPr="00001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</w:t>
      </w:r>
      <w:r w:rsidR="006409B6" w:rsidRPr="00001A69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252B98" w:rsidRPr="00001A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409B6" w:rsidRPr="00001A69">
        <w:rPr>
          <w:rFonts w:ascii="Times New Roman" w:hAnsi="Times New Roman" w:cs="Times New Roman"/>
          <w:b/>
          <w:sz w:val="28"/>
          <w:szCs w:val="28"/>
          <w:lang w:val="uk-UA"/>
        </w:rPr>
        <w:t>, частини другої статті 524, частин другої, третьої статті 533</w:t>
      </w:r>
      <w:r w:rsidR="00834145" w:rsidRPr="00001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09B6" w:rsidRPr="00001A69">
        <w:rPr>
          <w:rFonts w:ascii="Times New Roman" w:hAnsi="Times New Roman" w:cs="Times New Roman"/>
          <w:b/>
          <w:sz w:val="28"/>
          <w:szCs w:val="28"/>
          <w:lang w:val="uk-UA"/>
        </w:rPr>
        <w:t>Цивільного к</w:t>
      </w:r>
      <w:r w:rsidR="00834145" w:rsidRPr="00001A69">
        <w:rPr>
          <w:rFonts w:ascii="Times New Roman" w:hAnsi="Times New Roman" w:cs="Times New Roman"/>
          <w:b/>
          <w:sz w:val="28"/>
          <w:szCs w:val="28"/>
          <w:lang w:val="uk-UA"/>
        </w:rPr>
        <w:t>одексу України</w:t>
      </w:r>
      <w:r w:rsidR="008A26BF" w:rsidRPr="00001A6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409B6" w:rsidRPr="00001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Декрету Кабінету Міністрів України </w:t>
      </w:r>
      <w:r w:rsidR="00D11136" w:rsidRPr="00001A6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409B6" w:rsidRPr="00001A69">
        <w:rPr>
          <w:rFonts w:ascii="Times New Roman" w:hAnsi="Times New Roman" w:cs="Times New Roman"/>
          <w:b/>
          <w:sz w:val="28"/>
          <w:szCs w:val="28"/>
          <w:lang w:val="uk-UA"/>
        </w:rPr>
        <w:t>„Про систему валютного ре</w:t>
      </w:r>
      <w:r w:rsidR="00F701D2" w:rsidRPr="00001A69">
        <w:rPr>
          <w:rFonts w:ascii="Times New Roman" w:hAnsi="Times New Roman" w:cs="Times New Roman"/>
          <w:b/>
          <w:sz w:val="28"/>
          <w:szCs w:val="28"/>
          <w:lang w:val="uk-UA"/>
        </w:rPr>
        <w:t>гулювання і валютного контролю“</w:t>
      </w:r>
      <w:r w:rsidR="003972E1" w:rsidRPr="00001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22B7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722B7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22B7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22B7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22B7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972E1" w:rsidRPr="00001A69">
        <w:rPr>
          <w:rFonts w:ascii="Times New Roman" w:hAnsi="Times New Roman" w:cs="Times New Roman"/>
          <w:b/>
          <w:sz w:val="28"/>
          <w:szCs w:val="28"/>
          <w:lang w:val="uk-UA"/>
        </w:rPr>
        <w:t>постанов Верховного Суду</w:t>
      </w:r>
    </w:p>
    <w:bookmarkEnd w:id="0"/>
    <w:p w14:paraId="4E83473B" w14:textId="77777777" w:rsidR="003D01B6" w:rsidRPr="00001A69" w:rsidRDefault="003D01B6" w:rsidP="00722B7B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</w:pPr>
    </w:p>
    <w:p w14:paraId="16BA4B9C" w14:textId="77777777" w:rsidR="00722B7B" w:rsidRDefault="00722B7B" w:rsidP="00722B7B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D50723C" w14:textId="77125E58" w:rsidR="003D01B6" w:rsidRPr="00001A69" w:rsidRDefault="003D01B6" w:rsidP="00722B7B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Справа № </w:t>
      </w:r>
      <w:r w:rsidR="00BE0078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</w:t>
      </w:r>
      <w:r w:rsidR="00607EAF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108</w:t>
      </w:r>
      <w:r w:rsidR="00BE0078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</w:t>
      </w:r>
      <w:r w:rsidR="00F65C1B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BE0078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="00607EAF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201</w:t>
      </w:r>
      <w:r w:rsidR="00BE0078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</w:t>
      </w:r>
      <w:r w:rsidR="00F65C1B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BE0078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</w:p>
    <w:p w14:paraId="323B2C6F" w14:textId="1D1B3D7A" w:rsidR="003D01B6" w:rsidRPr="00001A69" w:rsidRDefault="00AF000F" w:rsidP="00722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26</w:t>
      </w:r>
      <w:r w:rsidR="006409B6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липня </w:t>
      </w:r>
      <w:r w:rsidR="003D01B6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202</w:t>
      </w:r>
      <w:r w:rsidR="00F65C1B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3D01B6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року </w:t>
      </w:r>
    </w:p>
    <w:p w14:paraId="2324607D" w14:textId="67980D1D" w:rsidR="003D01B6" w:rsidRPr="00001A69" w:rsidRDefault="003D01B6" w:rsidP="00722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AF00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127</w:t>
      </w:r>
      <w:r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-1(І)/202</w:t>
      </w:r>
      <w:r w:rsidR="00F65C1B" w:rsidRPr="00001A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</w:p>
    <w:p w14:paraId="45965DCC" w14:textId="4FC13902" w:rsidR="003D01B6" w:rsidRDefault="003D01B6" w:rsidP="0072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4D319" w14:textId="77777777" w:rsidR="00722B7B" w:rsidRPr="00001A69" w:rsidRDefault="00722B7B" w:rsidP="0072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93267" w14:textId="6FC9915B" w:rsidR="003D01B6" w:rsidRPr="00001A69" w:rsidRDefault="003D01B6" w:rsidP="00722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="00722B7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складі:</w:t>
      </w:r>
    </w:p>
    <w:p w14:paraId="742F6458" w14:textId="77777777" w:rsidR="003D01B6" w:rsidRPr="00001A69" w:rsidRDefault="003D01B6" w:rsidP="00722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</w:p>
    <w:p w14:paraId="59297662" w14:textId="22D9A784" w:rsidR="003D01B6" w:rsidRPr="00001A69" w:rsidRDefault="003D01B6" w:rsidP="00722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Колісник Віктор Павлович </w:t>
      </w:r>
      <w:r w:rsidR="00F400ED"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51EF"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засідання</w:t>
      </w:r>
      <w:r w:rsidR="00F400ED"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26AF7587" w14:textId="4955530D" w:rsidR="003D01B6" w:rsidRPr="00001A69" w:rsidRDefault="003D01B6" w:rsidP="00722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 Віктор Іванович,</w:t>
      </w:r>
    </w:p>
    <w:p w14:paraId="343C9369" w14:textId="4F22F50A" w:rsidR="003D01B6" w:rsidRPr="00001A69" w:rsidRDefault="003D01B6" w:rsidP="00722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 Петр</w:t>
      </w:r>
      <w:r w:rsidR="00F400ED"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Тодосьович </w:t>
      </w:r>
      <w:r w:rsidR="00F400ED"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</w:t>
      </w:r>
      <w:r w:rsidR="00F400ED"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01A6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12EFF50B" w14:textId="77777777" w:rsidR="003D01B6" w:rsidRPr="00001A69" w:rsidRDefault="003D01B6" w:rsidP="00722B7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1A986EEE" w14:textId="247EAD91" w:rsidR="003D01B6" w:rsidRPr="00001A69" w:rsidRDefault="003D01B6" w:rsidP="00722B7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Полякової Ольги Володимирівни</w:t>
      </w:r>
      <w:r w:rsidR="0083414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19</w:t>
      </w:r>
      <w:r w:rsidR="00252B98" w:rsidRPr="00001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частини другої статті 524, частин другої, третьої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статті 533 Цивільного кодексу України</w:t>
      </w:r>
      <w:r w:rsidR="00252B9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Декрет</w:t>
      </w:r>
      <w:r w:rsidR="008A26BF" w:rsidRPr="00001A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„Про систему валютного регулювання і валютного контролю“ від 19 лютого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1993 року № 15–93</w:t>
      </w:r>
      <w:r w:rsidR="00252B9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(Відомості Верховної Ради України, 1993 р., № 17, ст. 184)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52B98" w:rsidRPr="00001A69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3972E1" w:rsidRPr="00001A69">
        <w:rPr>
          <w:rFonts w:ascii="Times New Roman" w:hAnsi="Times New Roman" w:cs="Times New Roman"/>
          <w:sz w:val="28"/>
          <w:szCs w:val="28"/>
          <w:lang w:val="uk-UA"/>
        </w:rPr>
        <w:t>, постанов Верховного Суду.</w:t>
      </w:r>
    </w:p>
    <w:p w14:paraId="64E46252" w14:textId="77777777" w:rsidR="003D01B6" w:rsidRPr="00001A69" w:rsidRDefault="003D01B6" w:rsidP="00722B7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89CD708" w14:textId="26BB0EB7" w:rsidR="003D01B6" w:rsidRDefault="003D01B6" w:rsidP="00722B7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71305127" w14:textId="2BFD96F8" w:rsidR="00AF000F" w:rsidRDefault="00AF000F" w:rsidP="00722B7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28639" w14:textId="09BC8F02" w:rsidR="003D01B6" w:rsidRPr="00001A69" w:rsidRDefault="003D01B6" w:rsidP="00346C15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с т а н о в и л а:</w:t>
      </w:r>
    </w:p>
    <w:p w14:paraId="4B23EC7B" w14:textId="77777777" w:rsidR="003D01B6" w:rsidRPr="00001A69" w:rsidRDefault="003D01B6" w:rsidP="00346C15">
      <w:pPr>
        <w:spacing w:after="0" w:line="32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C0C11A" w14:textId="1806A4A8" w:rsidR="008A26BF" w:rsidRPr="00001A69" w:rsidRDefault="003D01B6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Полякова О.В.</w:t>
      </w:r>
      <w:r w:rsidR="0083414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лася</w:t>
      </w:r>
      <w:r w:rsidR="0083414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до Конституційного Суду України з клопотанням перевірити на відповідність </w:t>
      </w:r>
      <w:r w:rsidR="0083414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63F73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>частину другу статті 19</w:t>
      </w:r>
      <w:r w:rsidR="00252B98" w:rsidRPr="00001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частину другу статті 524, 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br/>
        <w:t>частини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другу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>третю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статті 533 Цивільного кодексу України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Кодекс)</w:t>
      </w:r>
      <w:r w:rsidR="008A26BF" w:rsidRPr="00001A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6BF" w:rsidRPr="00001A69">
        <w:rPr>
          <w:rFonts w:ascii="Times New Roman" w:hAnsi="Times New Roman" w:cs="Times New Roman"/>
          <w:sz w:val="28"/>
          <w:szCs w:val="28"/>
          <w:lang w:val="uk-UA"/>
        </w:rPr>
        <w:t>Декрет</w:t>
      </w:r>
      <w:r w:rsidR="006409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„Про систему валютного регулювання і валютного контролю“ від 19 лютого 1993 року № 15–93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93B4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(далі – Декрет), якими </w:t>
      </w:r>
      <w:r w:rsidR="00606FA4" w:rsidRPr="00001A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93B49" w:rsidRPr="00001A69">
        <w:rPr>
          <w:rFonts w:ascii="Times New Roman" w:hAnsi="Times New Roman" w:cs="Times New Roman"/>
          <w:sz w:val="28"/>
          <w:szCs w:val="28"/>
          <w:lang w:val="uk-UA"/>
        </w:rPr>
        <w:t>становлено</w:t>
      </w:r>
      <w:r w:rsidR="00606FA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використання іноземної валюти </w:t>
      </w:r>
      <w:r w:rsidR="00193B49" w:rsidRPr="00001A6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>валютн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</w:t>
      </w:r>
      <w:r w:rsidR="003972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</w:p>
    <w:p w14:paraId="7387FC91" w14:textId="1CC59FBE" w:rsidR="00156B27" w:rsidRPr="00001A69" w:rsidRDefault="006F37C4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клопотання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FF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8A26BF" w:rsidRPr="00001A69">
        <w:rPr>
          <w:rFonts w:ascii="Times New Roman" w:hAnsi="Times New Roman" w:cs="Times New Roman"/>
          <w:sz w:val="28"/>
          <w:szCs w:val="28"/>
          <w:lang w:val="uk-UA"/>
        </w:rPr>
        <w:t>просить перевірити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</w:t>
      </w:r>
      <w:r w:rsidR="00886BCB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статті 99 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Основно</w:t>
      </w:r>
      <w:r w:rsidR="00886BCB" w:rsidRPr="00001A6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E1" w:rsidRPr="00001A69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Верховного Суду</w:t>
      </w:r>
      <w:r w:rsidR="008A26BF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="00C46043" w:rsidRPr="00001A69">
        <w:rPr>
          <w:rFonts w:ascii="Times New Roman" w:hAnsi="Times New Roman" w:cs="Times New Roman"/>
          <w:sz w:val="28"/>
          <w:szCs w:val="28"/>
          <w:lang w:val="uk-UA"/>
        </w:rPr>
        <w:t>орушує питання</w:t>
      </w:r>
      <w:r w:rsidR="00F5386B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щодо свого</w:t>
      </w:r>
      <w:r w:rsidR="00D105EA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статусу, окремих 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>юридични</w:t>
      </w:r>
      <w:r w:rsidR="00D105EA" w:rsidRPr="00001A6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 w:rsidR="00D105EA" w:rsidRPr="00001A6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>, нормотворч</w:t>
      </w:r>
      <w:r w:rsidR="00D105EA" w:rsidRPr="00001A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5EA" w:rsidRPr="00001A69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DB61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386B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AE1" w:rsidRPr="00001A69">
        <w:rPr>
          <w:rFonts w:ascii="Times New Roman" w:hAnsi="Times New Roman" w:cs="Times New Roman"/>
          <w:sz w:val="28"/>
          <w:szCs w:val="28"/>
          <w:lang w:val="uk-UA"/>
        </w:rPr>
        <w:t>Національного банку України</w:t>
      </w:r>
      <w:r w:rsidR="00156B27" w:rsidRPr="00001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738D53" w14:textId="35FF9A2E" w:rsidR="003F3418" w:rsidRPr="00001A69" w:rsidRDefault="0043170D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Зі змісту конституційної скарги та долучених до неї матеріалів </w:t>
      </w:r>
      <w:r w:rsidR="00B74C12" w:rsidRPr="00001A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бачається, що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Полякова О.В. звернулася до Дніпровського районного суду міста Києва з </w:t>
      </w:r>
      <w:r w:rsidR="002634A6" w:rsidRPr="00001A69">
        <w:rPr>
          <w:rFonts w:ascii="Times New Roman" w:hAnsi="Times New Roman" w:cs="Times New Roman"/>
          <w:sz w:val="28"/>
          <w:szCs w:val="28"/>
          <w:lang w:val="uk-UA"/>
        </w:rPr>
        <w:t>позов</w:t>
      </w:r>
      <w:r w:rsidR="0086452B" w:rsidRPr="00001A69">
        <w:rPr>
          <w:rFonts w:ascii="Times New Roman" w:hAnsi="Times New Roman" w:cs="Times New Roman"/>
          <w:sz w:val="28"/>
          <w:szCs w:val="28"/>
          <w:lang w:val="uk-UA"/>
        </w:rPr>
        <w:t>ною заявою</w:t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до Товариства з обмеженою </w:t>
      </w:r>
      <w:r w:rsidR="00C46043" w:rsidRPr="00001A69">
        <w:rPr>
          <w:rFonts w:ascii="Times New Roman" w:hAnsi="Times New Roman" w:cs="Times New Roman"/>
          <w:sz w:val="28"/>
          <w:szCs w:val="28"/>
          <w:lang w:val="uk-UA"/>
        </w:rPr>
        <w:t>відповідальністю</w:t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„Фінансова компанія Інвест-Кредо“</w:t>
      </w:r>
      <w:r w:rsidR="00DD1A8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(далі – Товариство)</w:t>
      </w:r>
      <w:r w:rsidR="00F5386B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зокрема, про </w:t>
      </w:r>
      <w:r w:rsidR="00C46043" w:rsidRPr="00001A69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="00F5386B" w:rsidRPr="00001A6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C46043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A8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недійсним </w:t>
      </w:r>
      <w:r w:rsidR="00C46043" w:rsidRPr="00001A69">
        <w:rPr>
          <w:rFonts w:ascii="Times New Roman" w:hAnsi="Times New Roman" w:cs="Times New Roman"/>
          <w:sz w:val="28"/>
          <w:szCs w:val="28"/>
          <w:lang w:val="uk-UA"/>
        </w:rPr>
        <w:t>кредитн</w:t>
      </w:r>
      <w:r w:rsidR="00F5386B" w:rsidRPr="00001A6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46043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A89" w:rsidRPr="00001A69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F5386B" w:rsidRPr="00001A69"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="00DD1A8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за яким </w:t>
      </w:r>
      <w:r w:rsidR="00B809AA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відкрило </w:t>
      </w:r>
      <w:r w:rsidR="00DC6FF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Поляковій О.В. </w:t>
      </w:r>
      <w:r w:rsidR="00DD1A89" w:rsidRPr="00001A69">
        <w:rPr>
          <w:rFonts w:ascii="Times New Roman" w:hAnsi="Times New Roman" w:cs="Times New Roman"/>
          <w:sz w:val="28"/>
          <w:szCs w:val="28"/>
          <w:lang w:val="uk-UA"/>
        </w:rPr>
        <w:t>кредитну лінію в іноземній валюті.</w:t>
      </w:r>
    </w:p>
    <w:p w14:paraId="450E6F31" w14:textId="36FAFF7D" w:rsidR="002455D8" w:rsidRPr="00001A69" w:rsidRDefault="00C46043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Дніпровський районний суд міста Києва </w:t>
      </w:r>
      <w:r w:rsidR="002634A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від 27 вересня </w:t>
      </w:r>
      <w:r w:rsidR="002634A6" w:rsidRPr="00001A69">
        <w:rPr>
          <w:rFonts w:ascii="Times New Roman" w:hAnsi="Times New Roman" w:cs="Times New Roman"/>
          <w:sz w:val="28"/>
          <w:szCs w:val="28"/>
          <w:lang w:val="uk-UA"/>
        </w:rPr>
        <w:br/>
        <w:t xml:space="preserve">2021 року </w:t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>позовні вимоги Полякової О.В. залишив без задоволення.</w:t>
      </w:r>
    </w:p>
    <w:p w14:paraId="3957760B" w14:textId="2B3F63BD" w:rsidR="002455D8" w:rsidRPr="00001A69" w:rsidRDefault="003F3418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Київський апеляційний суд постановою від 25 травня 2022 року апеляційну скаргу Полякової О.В. задовольнив частково</w:t>
      </w:r>
      <w:r w:rsidR="00DC6FF9" w:rsidRPr="00001A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7BF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мотивувальну частину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рішення Дніпровського районного суду міста Києва від 27 вересня 2021 року </w:t>
      </w:r>
      <w:r w:rsidR="00DB61C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виклав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61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>новій редакції</w:t>
      </w:r>
      <w:r w:rsidR="002634A6" w:rsidRPr="00001A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в іншій частині </w:t>
      </w:r>
      <w:r w:rsidR="002634A6" w:rsidRPr="00001A69">
        <w:rPr>
          <w:rFonts w:ascii="Times New Roman" w:hAnsi="Times New Roman" w:cs="Times New Roman"/>
          <w:sz w:val="28"/>
          <w:szCs w:val="28"/>
          <w:lang w:val="uk-UA"/>
        </w:rPr>
        <w:t>– за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лишив без змін. </w:t>
      </w:r>
    </w:p>
    <w:p w14:paraId="150C99EC" w14:textId="013B001A" w:rsidR="003F3418" w:rsidRPr="00001A69" w:rsidRDefault="00E23501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Верховний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Суд у складі колегії суддів 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Третьої судової палати 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>Каса</w:t>
      </w:r>
      <w:r w:rsidR="00FB4EC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ційного 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</w:t>
      </w:r>
      <w:r w:rsidR="00FB4EC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>постановою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касаційну скаргу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r w:rsidR="001107BF" w:rsidRPr="00001A69">
        <w:rPr>
          <w:rFonts w:ascii="Times New Roman" w:hAnsi="Times New Roman" w:cs="Times New Roman"/>
          <w:sz w:val="28"/>
          <w:szCs w:val="28"/>
          <w:lang w:val="uk-UA"/>
        </w:rPr>
        <w:t>ої О.В. залишив без задоволення</w:t>
      </w:r>
      <w:r w:rsidR="003F3418" w:rsidRPr="00001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8FB74E" w14:textId="54A66B4F" w:rsidR="00154684" w:rsidRPr="00001A69" w:rsidRDefault="0043170D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На думку </w:t>
      </w:r>
      <w:r w:rsidR="006F37C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автора клопотання</w:t>
      </w:r>
      <w:r w:rsidR="001B6DB6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</w:t>
      </w:r>
      <w:r w:rsidR="00FB4EC4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застосування </w:t>
      </w:r>
      <w:r w:rsidR="00206DE4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в остаточному судовому рішенні в </w:t>
      </w:r>
      <w:r w:rsidR="00650930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його</w:t>
      </w:r>
      <w:r w:rsidR="00206DE4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справі оспорюваних положень</w:t>
      </w:r>
      <w:r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FF018A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Кодексу </w:t>
      </w:r>
      <w:r w:rsidR="00206DE4" w:rsidRPr="00001A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призвело до порушення статті 99 Конституції України, „дозволивши вільне її трактування“.</w:t>
      </w:r>
    </w:p>
    <w:p w14:paraId="0ADE5EF4" w14:textId="78C39D8E" w:rsidR="00BC5E0E" w:rsidRPr="00001A69" w:rsidRDefault="00BC5E0E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Обґрунтовуючи свої твердження, </w:t>
      </w:r>
      <w:r w:rsidR="006F37C4">
        <w:rPr>
          <w:rFonts w:ascii="Times New Roman" w:hAnsi="Times New Roman" w:cs="Times New Roman"/>
          <w:sz w:val="28"/>
          <w:szCs w:val="28"/>
          <w:lang w:val="uk-UA"/>
        </w:rPr>
        <w:t>Полякова О.В.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посилається на окремі 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приписи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Кодексу, </w:t>
      </w:r>
      <w:r w:rsidR="002455D8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України, Декрету, </w:t>
      </w:r>
      <w:r w:rsidR="00DC6FF9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рішення Конституційного Суду України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558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практику </w:t>
      </w:r>
      <w:r w:rsidR="003D578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Верховного Суду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та судові рішення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DC6FF9" w:rsidRPr="00001A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7C4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справі.</w:t>
      </w:r>
    </w:p>
    <w:p w14:paraId="1E8AF17A" w14:textId="77777777" w:rsidR="00FC1F70" w:rsidRPr="00001A69" w:rsidRDefault="00FC1F70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40D4CA" w14:textId="50AEFD68" w:rsidR="00D051EF" w:rsidRPr="00001A69" w:rsidRDefault="003D01B6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18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Вирішуючи</w:t>
      </w:r>
      <w:r w:rsidR="002A6D72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39452B24" w14:textId="2E4BF73C" w:rsidR="003D01B6" w:rsidRPr="00001A69" w:rsidRDefault="00DC6FF9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Згідно із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Конституційний Суд України“ 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є подане до 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письмове клопотання щодо перевірки на відповідність Конституції України (конституційність) закону України (його окремих положень), що застосований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 остаточному судовому рішенні у справі суб’єкта права на конституційну скаргу (частина перша статті 55); 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суперечить Конституції України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(абзац перший частини першої статті 56); 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 за умов її відп</w:t>
      </w:r>
      <w:r w:rsidR="00EE33CE" w:rsidRPr="00001A69">
        <w:rPr>
          <w:rFonts w:ascii="Times New Roman" w:hAnsi="Times New Roman" w:cs="Times New Roman"/>
          <w:sz w:val="28"/>
          <w:szCs w:val="28"/>
          <w:lang w:val="uk-UA"/>
        </w:rPr>
        <w:t>овідності вимогам, передбаченим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EE33CE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3D36A5" w:rsidRPr="00001A69">
        <w:rPr>
          <w:rFonts w:ascii="Times New Roman" w:hAnsi="Times New Roman" w:cs="Times New Roman"/>
          <w:sz w:val="28"/>
          <w:szCs w:val="28"/>
          <w:lang w:val="uk-UA"/>
        </w:rPr>
        <w:t>, 56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цього закону (абзац перший частини першої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>статті 77).</w:t>
      </w:r>
      <w:bookmarkEnd w:id="1"/>
    </w:p>
    <w:p w14:paraId="25329949" w14:textId="77777777" w:rsidR="001107BF" w:rsidRPr="00001A69" w:rsidRDefault="001107BF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9C0ED1" w14:textId="4CF07CB2" w:rsidR="00FC1F70" w:rsidRPr="00001A69" w:rsidRDefault="00D37AFD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</w:t>
      </w:r>
      <w:r w:rsidR="00022A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 з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остаточного судового рішення у справі Полякової О.В. – 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Верховного Суду у складі колегії суддів Третьої судової палати Касаційного цивільного суду від 28 жовтня 2022 року – 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>бачається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що суд </w:t>
      </w:r>
      <w:r w:rsidR="00722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FC1F70" w:rsidRPr="00001A69">
        <w:rPr>
          <w:rFonts w:ascii="Times New Roman" w:hAnsi="Times New Roman" w:cs="Times New Roman"/>
          <w:spacing w:val="-4"/>
          <w:sz w:val="28"/>
          <w:szCs w:val="28"/>
          <w:lang w:val="uk-UA"/>
        </w:rPr>
        <w:t>застосовував у н</w:t>
      </w:r>
      <w:r w:rsidR="00001A69" w:rsidRPr="00001A69">
        <w:rPr>
          <w:rFonts w:ascii="Times New Roman" w:hAnsi="Times New Roman" w:cs="Times New Roman"/>
          <w:spacing w:val="-4"/>
          <w:sz w:val="28"/>
          <w:szCs w:val="28"/>
          <w:lang w:val="uk-UA"/>
        </w:rPr>
        <w:t>ьому</w:t>
      </w:r>
      <w:r w:rsidR="00FC1F70" w:rsidRPr="00001A6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положення частини третьої статті 533 Кодексу</w:t>
      </w:r>
      <w:r w:rsidR="00DB61C0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D046F8" w:rsidRPr="00001A6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Декрету</w:t>
      </w:r>
      <w:r w:rsidR="00FC1F70" w:rsidRPr="00001A69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75F141D6" w14:textId="1EC49B87" w:rsidR="00FC1F70" w:rsidRPr="00001A69" w:rsidRDefault="00FC1F70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D5056">
        <w:rPr>
          <w:rFonts w:ascii="Times New Roman" w:hAnsi="Times New Roman" w:cs="Times New Roman"/>
          <w:sz w:val="28"/>
          <w:szCs w:val="28"/>
          <w:lang w:val="uk-UA"/>
        </w:rPr>
        <w:t>автор клопотання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 цій частині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не дотримав вимог частини першої статті 56 Закону України „Про Конституційний Суд України“, </w:t>
      </w: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є підставою для відмови у відкритті конституційного провадження у справі згідно </w:t>
      </w:r>
      <w:r w:rsidR="00346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 пунктом 1 статті 62 цього закону – звернення до </w:t>
      </w:r>
      <w:r w:rsidR="009F0D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Конституційного Суду України</w:t>
      </w: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неналежним суб’єктом.</w:t>
      </w:r>
    </w:p>
    <w:p w14:paraId="2A07B744" w14:textId="06BD1A44" w:rsidR="00FC1F70" w:rsidRPr="00001A69" w:rsidRDefault="00FC1F70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B8797" w14:textId="4A1F6040" w:rsidR="00FC1F70" w:rsidRPr="00001A69" w:rsidRDefault="00D37AFD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022A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аналізу конституційної скарги вбачається, що аргументація </w:t>
      </w:r>
      <w:r w:rsidR="00722B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Полякової О.В. </w:t>
      </w:r>
      <w:r w:rsidR="00022A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неконституційності частини другої статті 192, </w:t>
      </w:r>
      <w:r w:rsidR="009F0D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 статті 524, частин</w:t>
      </w:r>
      <w:r w:rsidR="00022A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другої статті 533 Кодексу зводиться до висловлення незгоди із застосуванням оспорюваних положень Кодексу </w:t>
      </w:r>
      <w:r w:rsidR="00722B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остаточному судовому рішенні в її справі, що не можна вважати обґрунтуванням тверджень </w:t>
      </w:r>
      <w:r w:rsidR="009F0DC6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їх неконституційності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AFD5A8A" w14:textId="03799AEF" w:rsidR="00FC1F70" w:rsidRPr="00001A69" w:rsidRDefault="003972E1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D5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35FD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цій частині </w:t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дотримав вимог пункту 6 </w:t>
      </w:r>
      <w:r w:rsidR="00346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C1F70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0E7111FF" w14:textId="793090A2" w:rsidR="00C4324A" w:rsidRPr="00001A69" w:rsidRDefault="00C4324A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331991" w14:textId="29FBDCA8" w:rsidR="00D70517" w:rsidRPr="00001A69" w:rsidRDefault="00C4324A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 w:rsidR="00D70517" w:rsidRPr="00001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1B53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втор клопотання 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просить перевірити на відповідність Конституції України 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>Верховного Суду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фактично 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звертається до 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>Конституційн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022AC6" w:rsidRPr="00001A69">
        <w:rPr>
          <w:rFonts w:ascii="Times New Roman" w:hAnsi="Times New Roman" w:cs="Times New Roman"/>
          <w:sz w:val="28"/>
          <w:szCs w:val="28"/>
          <w:lang w:val="uk-UA"/>
        </w:rPr>
        <w:t>за наданням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>консультаці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968E281" w14:textId="1327134E" w:rsidR="00D70517" w:rsidRPr="00001A69" w:rsidRDefault="00D70517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</w:t>
      </w:r>
      <w:r w:rsidR="00081B53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у своїх рішеннях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зазначав, що правозастосовна діяльність полягає в індивідуалізації 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юридичних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норм щодо конкретних суб’єктів і конкретних випадків, тобто в установленні фактичних обставин справи і підборі юридичних норм, які відповідають цим обставинам; пошук та аналіз таких норм з метою їх застосування до конкретного випадку є складовими правозастосування</w:t>
      </w:r>
      <w:r w:rsidR="00081B53" w:rsidRPr="00001A6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B53" w:rsidRPr="00001A69">
        <w:rPr>
          <w:rFonts w:ascii="Times New Roman" w:hAnsi="Times New Roman" w:cs="Times New Roman"/>
          <w:sz w:val="28"/>
          <w:szCs w:val="28"/>
          <w:lang w:val="uk-UA"/>
        </w:rPr>
        <w:t>надання консультацій чи роз’яснень з цього приводу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не належ</w:t>
      </w:r>
      <w:r w:rsidR="00F01E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ть до повноважень Конституційного Суду України </w:t>
      </w:r>
      <w:r w:rsidR="00281A26" w:rsidRPr="00001A69">
        <w:rPr>
          <w:rFonts w:ascii="Times New Roman" w:hAnsi="Times New Roman" w:cs="Times New Roman"/>
          <w:sz w:val="28"/>
          <w:szCs w:val="28"/>
          <w:lang w:val="uk-UA"/>
        </w:rPr>
        <w:br/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0B3C" w:rsidRPr="00001A69">
        <w:rPr>
          <w:rFonts w:ascii="Times New Roman" w:hAnsi="Times New Roman" w:cs="Times New Roman"/>
          <w:sz w:val="28"/>
          <w:szCs w:val="28"/>
          <w:lang w:val="uk-UA"/>
        </w:rPr>
        <w:t>Ухвала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Суду України від 31 березня 2010 </w:t>
      </w:r>
      <w:r w:rsidR="00B10B3C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281A26" w:rsidRPr="00001A69">
        <w:rPr>
          <w:rFonts w:ascii="Times New Roman" w:hAnsi="Times New Roman" w:cs="Times New Roman"/>
          <w:sz w:val="28"/>
          <w:szCs w:val="28"/>
          <w:lang w:val="uk-UA"/>
        </w:rPr>
        <w:br/>
      </w:r>
      <w:r w:rsidR="00B10B3C" w:rsidRPr="00001A69">
        <w:rPr>
          <w:rFonts w:ascii="Times New Roman" w:hAnsi="Times New Roman" w:cs="Times New Roman"/>
          <w:sz w:val="28"/>
          <w:szCs w:val="28"/>
          <w:lang w:val="uk-UA"/>
        </w:rPr>
        <w:t>№ 15-у/2010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>; відповідно до змісту Конституції України та Закону України „Про Конституційний Суд України“ питання внесення змін до нормативних актів, заповнення прогалин, усунення суперечностей і колізій між законами та іншими нормативними актами не є компетенціє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ю Конституційного Суду України (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>Ухвала Великої палати Конституційного Суду України від 27 червня 2023 року № 12-уп/2023</w:t>
      </w:r>
      <w:r w:rsidR="007F3837" w:rsidRPr="00001A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885BA6" w14:textId="0899058D" w:rsidR="00D70517" w:rsidRPr="00001A69" w:rsidRDefault="003972E1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</w:t>
      </w:r>
      <w:r w:rsidR="00D70517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61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558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цій частині </w:t>
      </w:r>
      <w:r w:rsidR="00DB61C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підстави для відмови у відкритті конституційного провадження у справі 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пунктом 2 статті 62 Закону України </w:t>
      </w:r>
      <w:r w:rsidR="00DB61C0">
        <w:rPr>
          <w:rFonts w:ascii="Times New Roman" w:hAnsi="Times New Roman" w:cs="Times New Roman"/>
          <w:sz w:val="28"/>
          <w:szCs w:val="28"/>
          <w:lang w:val="uk-UA"/>
        </w:rPr>
        <w:br/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„Про Конституційний Суд України“ – неналежність до повноважень 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9F0DC6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01748F" w:rsidRPr="00001A69">
        <w:rPr>
          <w:rFonts w:ascii="Times New Roman" w:hAnsi="Times New Roman" w:cs="Times New Roman"/>
          <w:sz w:val="28"/>
          <w:szCs w:val="28"/>
          <w:lang w:val="uk-UA"/>
        </w:rPr>
        <w:t>питань, порушених у конституційній скарзі.</w:t>
      </w:r>
    </w:p>
    <w:p w14:paraId="6CC3C59C" w14:textId="77777777" w:rsidR="00DC5143" w:rsidRPr="00001A69" w:rsidRDefault="00DC5143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D3FB3" w14:textId="5D64A05E" w:rsidR="003D01B6" w:rsidRPr="00001A69" w:rsidRDefault="003D01B6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001A6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7, </w:t>
      </w:r>
      <w:r w:rsidR="0015468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32, 37, </w:t>
      </w:r>
      <w:r w:rsidR="0015468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C904DE6" w14:textId="77777777" w:rsidR="00346C15" w:rsidRDefault="00346C15" w:rsidP="0034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826161" w14:textId="4EB478EF" w:rsidR="003D01B6" w:rsidRPr="00001A69" w:rsidRDefault="003D01B6" w:rsidP="00346C15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5DE7884" w14:textId="77777777" w:rsidR="003D01B6" w:rsidRPr="00001A69" w:rsidRDefault="003D01B6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E0013" w14:textId="1E003D79" w:rsidR="00FC1F70" w:rsidRPr="00001A69" w:rsidRDefault="00DD2757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0B3C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відкритті конституційного провадження у справі за конституційною скаргою Полякової Ольги Володимирівни щодо відповідності Конституції України (конституційності) </w:t>
      </w:r>
      <w:r w:rsidR="00346C15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статті 533 Цивільного кодексу України</w:t>
      </w:r>
      <w:r w:rsidR="00D046F8" w:rsidRPr="00001A69">
        <w:rPr>
          <w:rFonts w:ascii="Times New Roman" w:hAnsi="Times New Roman" w:cs="Times New Roman"/>
          <w:sz w:val="28"/>
          <w:szCs w:val="28"/>
          <w:lang w:val="uk-UA"/>
        </w:rPr>
        <w:t>, Декрету Кабінету Міністрів України „Про систему валютного регулювання і валютного контролю“ від 19 лютого 1993 року № 15–93 зі змінами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1 статті 62 Закону України „Про Конституційний Суд України“ – звернення до </w:t>
      </w:r>
      <w:r w:rsidR="00001A69" w:rsidRPr="00001A69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неналежним суб’єктом; 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192, ча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стини другої статті 524, частини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другої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>статті 533 Цивільного кодексу України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4 статті 62 цього закону – неприйнятність конституційної скарги; постанов Верховного Суду на підставі пункту 2 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статті 62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цього закону 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 неналежність до повноважень </w:t>
      </w:r>
      <w:r w:rsidR="00AA558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AA5584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001A69">
        <w:rPr>
          <w:rFonts w:ascii="Times New Roman" w:hAnsi="Times New Roman" w:cs="Times New Roman"/>
          <w:sz w:val="28"/>
          <w:szCs w:val="28"/>
          <w:lang w:val="uk-UA"/>
        </w:rPr>
        <w:t>питань, порушених у конституційній скарзі</w:t>
      </w:r>
      <w:r w:rsidR="00FC1F70" w:rsidRPr="00001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A24BFF" w14:textId="5E1BD77F" w:rsidR="00B10B3C" w:rsidRPr="00001A69" w:rsidRDefault="00B10B3C" w:rsidP="0034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3117" w14:textId="6BE428B7" w:rsidR="003D01B6" w:rsidRDefault="00DD2757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7AFD" w:rsidRPr="00001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1B6" w:rsidRPr="00001A69">
        <w:rPr>
          <w:rFonts w:ascii="Times New Roman" w:hAnsi="Times New Roman" w:cs="Times New Roman"/>
          <w:sz w:val="28"/>
          <w:szCs w:val="28"/>
          <w:lang w:val="uk-UA"/>
        </w:rPr>
        <w:t>Ухвала є остаточною.</w:t>
      </w:r>
    </w:p>
    <w:p w14:paraId="2AFAF296" w14:textId="1747A4DB" w:rsidR="00111E55" w:rsidRDefault="00111E55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B7EC81" w14:textId="23A6D636" w:rsidR="00111E55" w:rsidRPr="00111E55" w:rsidRDefault="00111E55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14:paraId="679F8BFD" w14:textId="77777777" w:rsidR="00111E55" w:rsidRPr="00111E55" w:rsidRDefault="00111E55" w:rsidP="00111E55">
      <w:pPr>
        <w:pStyle w:val="a5"/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55">
        <w:rPr>
          <w:rFonts w:ascii="Times New Roman" w:hAnsi="Times New Roman" w:cs="Times New Roman"/>
          <w:b/>
          <w:sz w:val="28"/>
          <w:szCs w:val="28"/>
          <w:lang w:val="ru-RU"/>
        </w:rPr>
        <w:t>ПЕРША КОЛЕГІЯ СУДДІВ</w:t>
      </w:r>
    </w:p>
    <w:p w14:paraId="6ECA5DA5" w14:textId="77777777" w:rsidR="00111E55" w:rsidRPr="00111E55" w:rsidRDefault="00111E55" w:rsidP="00111E55">
      <w:pPr>
        <w:pStyle w:val="a5"/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55">
        <w:rPr>
          <w:rFonts w:ascii="Times New Roman" w:hAnsi="Times New Roman" w:cs="Times New Roman"/>
          <w:b/>
          <w:sz w:val="28"/>
          <w:szCs w:val="28"/>
          <w:lang w:val="ru-RU"/>
        </w:rPr>
        <w:t>ПЕРШОГО СЕНАТУ</w:t>
      </w:r>
    </w:p>
    <w:p w14:paraId="647782FE" w14:textId="77777777" w:rsidR="00111E55" w:rsidRPr="00111E55" w:rsidRDefault="00111E55" w:rsidP="00111E55">
      <w:pPr>
        <w:pStyle w:val="a5"/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55">
        <w:rPr>
          <w:rFonts w:ascii="Times New Roman" w:hAnsi="Times New Roman" w:cs="Times New Roman"/>
          <w:b/>
          <w:sz w:val="28"/>
          <w:szCs w:val="28"/>
          <w:lang w:val="ru-RU"/>
        </w:rPr>
        <w:t>КОНСТИТУЦІЙНОГО СУДУ УКРАЇНИ</w:t>
      </w:r>
    </w:p>
    <w:p w14:paraId="5274A484" w14:textId="77777777" w:rsidR="00111E55" w:rsidRPr="00111E55" w:rsidRDefault="00111E55" w:rsidP="00346C1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1B11D8" w14:textId="3EAA19AA" w:rsidR="003D01B6" w:rsidRDefault="003D01B6" w:rsidP="00A86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A7703E" w14:textId="225A546D" w:rsidR="00001A69" w:rsidRDefault="00001A69" w:rsidP="0000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7E659BC1" w14:textId="121A76B0" w:rsidR="00111E55" w:rsidRDefault="00111E55" w:rsidP="0000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1C47F3D0" w14:textId="77777777" w:rsidR="00111E55" w:rsidRDefault="00111E55" w:rsidP="0000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2752D625" w14:textId="77777777" w:rsidR="00111E55" w:rsidRPr="00346C15" w:rsidRDefault="00111E55" w:rsidP="0000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77173A1B" w14:textId="74F12393" w:rsidR="00493CAC" w:rsidRPr="00722B7B" w:rsidRDefault="00493CAC" w:rsidP="00001A69">
      <w:pPr>
        <w:spacing w:after="0" w:line="276" w:lineRule="auto"/>
        <w:ind w:left="3828"/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sectPr w:rsidR="00493CAC" w:rsidRPr="00722B7B" w:rsidSect="00346C15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E475" w14:textId="77777777" w:rsidR="00081B53" w:rsidRDefault="00081B53">
      <w:pPr>
        <w:spacing w:after="0" w:line="240" w:lineRule="auto"/>
      </w:pPr>
      <w:r>
        <w:separator/>
      </w:r>
    </w:p>
  </w:endnote>
  <w:endnote w:type="continuationSeparator" w:id="0">
    <w:p w14:paraId="17879232" w14:textId="77777777" w:rsidR="00081B53" w:rsidRDefault="0008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039E" w14:textId="09AD955E" w:rsidR="00722B7B" w:rsidRPr="00722B7B" w:rsidRDefault="00722B7B">
    <w:pPr>
      <w:pStyle w:val="a6"/>
      <w:rPr>
        <w:rFonts w:ascii="Times New Roman" w:hAnsi="Times New Roman" w:cs="Times New Roman"/>
        <w:sz w:val="10"/>
        <w:szCs w:val="10"/>
      </w:rPr>
    </w:pPr>
    <w:r w:rsidRPr="00722B7B">
      <w:rPr>
        <w:rFonts w:ascii="Times New Roman" w:hAnsi="Times New Roman" w:cs="Times New Roman"/>
        <w:sz w:val="10"/>
        <w:szCs w:val="10"/>
      </w:rPr>
      <w:fldChar w:fldCharType="begin"/>
    </w:r>
    <w:r w:rsidRPr="00722B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22B7B">
      <w:rPr>
        <w:rFonts w:ascii="Times New Roman" w:hAnsi="Times New Roman" w:cs="Times New Roman"/>
        <w:sz w:val="10"/>
        <w:szCs w:val="10"/>
      </w:rPr>
      <w:fldChar w:fldCharType="separate"/>
    </w:r>
    <w:r w:rsidR="0071129E">
      <w:rPr>
        <w:rFonts w:ascii="Times New Roman" w:hAnsi="Times New Roman" w:cs="Times New Roman"/>
        <w:noProof/>
        <w:sz w:val="10"/>
        <w:szCs w:val="10"/>
      </w:rPr>
      <w:t>G:\2023\Suddi\I senat\I koleg\31.docx</w:t>
    </w:r>
    <w:r w:rsidRPr="00722B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C014" w14:textId="5BF1EBE9" w:rsidR="00722B7B" w:rsidRPr="00722B7B" w:rsidRDefault="00722B7B">
    <w:pPr>
      <w:pStyle w:val="a6"/>
      <w:rPr>
        <w:rFonts w:ascii="Times New Roman" w:hAnsi="Times New Roman" w:cs="Times New Roman"/>
        <w:sz w:val="10"/>
        <w:szCs w:val="10"/>
      </w:rPr>
    </w:pPr>
    <w:r w:rsidRPr="00722B7B">
      <w:rPr>
        <w:rFonts w:ascii="Times New Roman" w:hAnsi="Times New Roman" w:cs="Times New Roman"/>
        <w:sz w:val="10"/>
        <w:szCs w:val="10"/>
      </w:rPr>
      <w:fldChar w:fldCharType="begin"/>
    </w:r>
    <w:r w:rsidRPr="00722B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22B7B">
      <w:rPr>
        <w:rFonts w:ascii="Times New Roman" w:hAnsi="Times New Roman" w:cs="Times New Roman"/>
        <w:sz w:val="10"/>
        <w:szCs w:val="10"/>
      </w:rPr>
      <w:fldChar w:fldCharType="separate"/>
    </w:r>
    <w:r w:rsidR="0071129E">
      <w:rPr>
        <w:rFonts w:ascii="Times New Roman" w:hAnsi="Times New Roman" w:cs="Times New Roman"/>
        <w:noProof/>
        <w:sz w:val="10"/>
        <w:szCs w:val="10"/>
      </w:rPr>
      <w:t>G:\2023\Suddi\I senat\I koleg\31.docx</w:t>
    </w:r>
    <w:r w:rsidRPr="00722B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0691" w14:textId="77777777" w:rsidR="00081B53" w:rsidRDefault="00081B53">
      <w:pPr>
        <w:spacing w:after="0" w:line="240" w:lineRule="auto"/>
      </w:pPr>
      <w:r>
        <w:separator/>
      </w:r>
    </w:p>
  </w:footnote>
  <w:footnote w:type="continuationSeparator" w:id="0">
    <w:p w14:paraId="004539E9" w14:textId="77777777" w:rsidR="00081B53" w:rsidRDefault="0008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227BF6" w14:textId="1A32DF66" w:rsidR="00081B53" w:rsidRDefault="00081B53" w:rsidP="00081B5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29E" w:rsidRPr="0071129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5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B6"/>
    <w:rsid w:val="00001A69"/>
    <w:rsid w:val="0000601F"/>
    <w:rsid w:val="0001748F"/>
    <w:rsid w:val="00022AC6"/>
    <w:rsid w:val="00045BB6"/>
    <w:rsid w:val="00081B53"/>
    <w:rsid w:val="00085934"/>
    <w:rsid w:val="000F1EA2"/>
    <w:rsid w:val="000F476E"/>
    <w:rsid w:val="001107BF"/>
    <w:rsid w:val="00111E55"/>
    <w:rsid w:val="00113167"/>
    <w:rsid w:val="00114AE5"/>
    <w:rsid w:val="0012069D"/>
    <w:rsid w:val="00135DAC"/>
    <w:rsid w:val="001434B8"/>
    <w:rsid w:val="00154684"/>
    <w:rsid w:val="001555CB"/>
    <w:rsid w:val="00156B27"/>
    <w:rsid w:val="00157FF2"/>
    <w:rsid w:val="00163619"/>
    <w:rsid w:val="00170AE1"/>
    <w:rsid w:val="001750E2"/>
    <w:rsid w:val="00185D92"/>
    <w:rsid w:val="00187B4F"/>
    <w:rsid w:val="00193B49"/>
    <w:rsid w:val="00197405"/>
    <w:rsid w:val="00197490"/>
    <w:rsid w:val="00197D25"/>
    <w:rsid w:val="001A546A"/>
    <w:rsid w:val="001B6DB6"/>
    <w:rsid w:val="001C1816"/>
    <w:rsid w:val="00201791"/>
    <w:rsid w:val="00206DE4"/>
    <w:rsid w:val="002455D8"/>
    <w:rsid w:val="00252B98"/>
    <w:rsid w:val="002634A6"/>
    <w:rsid w:val="00266E17"/>
    <w:rsid w:val="00276D66"/>
    <w:rsid w:val="00281A26"/>
    <w:rsid w:val="002A0865"/>
    <w:rsid w:val="002A6D72"/>
    <w:rsid w:val="002B7842"/>
    <w:rsid w:val="002C4AF3"/>
    <w:rsid w:val="003229C3"/>
    <w:rsid w:val="003238C1"/>
    <w:rsid w:val="00326A17"/>
    <w:rsid w:val="00331C8E"/>
    <w:rsid w:val="00346C15"/>
    <w:rsid w:val="00346D01"/>
    <w:rsid w:val="00356B40"/>
    <w:rsid w:val="0036514F"/>
    <w:rsid w:val="0037193F"/>
    <w:rsid w:val="003972E1"/>
    <w:rsid w:val="003A5B4E"/>
    <w:rsid w:val="003A6E8F"/>
    <w:rsid w:val="003B7AA9"/>
    <w:rsid w:val="003D01B6"/>
    <w:rsid w:val="003D36A5"/>
    <w:rsid w:val="003D5056"/>
    <w:rsid w:val="003D578E"/>
    <w:rsid w:val="003D760A"/>
    <w:rsid w:val="003D77A6"/>
    <w:rsid w:val="003F3418"/>
    <w:rsid w:val="00410378"/>
    <w:rsid w:val="004112FB"/>
    <w:rsid w:val="0043170D"/>
    <w:rsid w:val="004425D9"/>
    <w:rsid w:val="00462DA9"/>
    <w:rsid w:val="00474E70"/>
    <w:rsid w:val="00493CAC"/>
    <w:rsid w:val="004D4C00"/>
    <w:rsid w:val="004D7478"/>
    <w:rsid w:val="004E6199"/>
    <w:rsid w:val="00520A19"/>
    <w:rsid w:val="005235DB"/>
    <w:rsid w:val="005339D4"/>
    <w:rsid w:val="00534AE8"/>
    <w:rsid w:val="00537603"/>
    <w:rsid w:val="005412BC"/>
    <w:rsid w:val="00543872"/>
    <w:rsid w:val="00545D71"/>
    <w:rsid w:val="00583082"/>
    <w:rsid w:val="00595B38"/>
    <w:rsid w:val="005A0FA8"/>
    <w:rsid w:val="00606DC1"/>
    <w:rsid w:val="00606FA4"/>
    <w:rsid w:val="00607EAF"/>
    <w:rsid w:val="0061426A"/>
    <w:rsid w:val="00634F75"/>
    <w:rsid w:val="006409B6"/>
    <w:rsid w:val="00650930"/>
    <w:rsid w:val="006A12C5"/>
    <w:rsid w:val="006D2E83"/>
    <w:rsid w:val="006E61C5"/>
    <w:rsid w:val="006F37C4"/>
    <w:rsid w:val="0071129E"/>
    <w:rsid w:val="00722B7B"/>
    <w:rsid w:val="00727018"/>
    <w:rsid w:val="0074195A"/>
    <w:rsid w:val="007635FD"/>
    <w:rsid w:val="0079250B"/>
    <w:rsid w:val="007A03DE"/>
    <w:rsid w:val="007B2E05"/>
    <w:rsid w:val="007B3144"/>
    <w:rsid w:val="007C2BEB"/>
    <w:rsid w:val="007D6903"/>
    <w:rsid w:val="007F27AF"/>
    <w:rsid w:val="007F3837"/>
    <w:rsid w:val="008251F6"/>
    <w:rsid w:val="00834145"/>
    <w:rsid w:val="0084270B"/>
    <w:rsid w:val="008638B9"/>
    <w:rsid w:val="0086452B"/>
    <w:rsid w:val="00886BCB"/>
    <w:rsid w:val="0089626F"/>
    <w:rsid w:val="008A26BF"/>
    <w:rsid w:val="008B1E49"/>
    <w:rsid w:val="008C520E"/>
    <w:rsid w:val="008D1B09"/>
    <w:rsid w:val="008F0ACA"/>
    <w:rsid w:val="009035E4"/>
    <w:rsid w:val="009518B8"/>
    <w:rsid w:val="00955CD1"/>
    <w:rsid w:val="00963F8F"/>
    <w:rsid w:val="009763D7"/>
    <w:rsid w:val="009A09B7"/>
    <w:rsid w:val="009A156B"/>
    <w:rsid w:val="009A5832"/>
    <w:rsid w:val="009E4B7E"/>
    <w:rsid w:val="009F0DC6"/>
    <w:rsid w:val="009F6E8F"/>
    <w:rsid w:val="00A2503C"/>
    <w:rsid w:val="00A30AF8"/>
    <w:rsid w:val="00A31084"/>
    <w:rsid w:val="00A606AB"/>
    <w:rsid w:val="00A862C4"/>
    <w:rsid w:val="00A90933"/>
    <w:rsid w:val="00A95B1F"/>
    <w:rsid w:val="00AA5584"/>
    <w:rsid w:val="00AE3F73"/>
    <w:rsid w:val="00AF000F"/>
    <w:rsid w:val="00AF38A3"/>
    <w:rsid w:val="00B00067"/>
    <w:rsid w:val="00B10B3C"/>
    <w:rsid w:val="00B24A73"/>
    <w:rsid w:val="00B321B7"/>
    <w:rsid w:val="00B456E9"/>
    <w:rsid w:val="00B45FD4"/>
    <w:rsid w:val="00B5285F"/>
    <w:rsid w:val="00B708C1"/>
    <w:rsid w:val="00B74C12"/>
    <w:rsid w:val="00B807D4"/>
    <w:rsid w:val="00B809AA"/>
    <w:rsid w:val="00BA09CC"/>
    <w:rsid w:val="00BB266C"/>
    <w:rsid w:val="00BC5E0E"/>
    <w:rsid w:val="00BE0078"/>
    <w:rsid w:val="00C149EB"/>
    <w:rsid w:val="00C16892"/>
    <w:rsid w:val="00C4324A"/>
    <w:rsid w:val="00C45189"/>
    <w:rsid w:val="00C46043"/>
    <w:rsid w:val="00C5101F"/>
    <w:rsid w:val="00C5213D"/>
    <w:rsid w:val="00C55AF3"/>
    <w:rsid w:val="00C6466B"/>
    <w:rsid w:val="00C82E99"/>
    <w:rsid w:val="00CB2758"/>
    <w:rsid w:val="00CD0C46"/>
    <w:rsid w:val="00CD4573"/>
    <w:rsid w:val="00CF2183"/>
    <w:rsid w:val="00D046F8"/>
    <w:rsid w:val="00D051EF"/>
    <w:rsid w:val="00D105EA"/>
    <w:rsid w:val="00D11136"/>
    <w:rsid w:val="00D17297"/>
    <w:rsid w:val="00D34F4E"/>
    <w:rsid w:val="00D37AFD"/>
    <w:rsid w:val="00D50C88"/>
    <w:rsid w:val="00D70517"/>
    <w:rsid w:val="00D71CBF"/>
    <w:rsid w:val="00D72F09"/>
    <w:rsid w:val="00D946D5"/>
    <w:rsid w:val="00DB61C0"/>
    <w:rsid w:val="00DC4D6A"/>
    <w:rsid w:val="00DC5143"/>
    <w:rsid w:val="00DC6FF9"/>
    <w:rsid w:val="00DC78D0"/>
    <w:rsid w:val="00DD1A89"/>
    <w:rsid w:val="00DD2757"/>
    <w:rsid w:val="00E05A9B"/>
    <w:rsid w:val="00E064F1"/>
    <w:rsid w:val="00E102B1"/>
    <w:rsid w:val="00E111DA"/>
    <w:rsid w:val="00E23501"/>
    <w:rsid w:val="00E23D09"/>
    <w:rsid w:val="00E446B7"/>
    <w:rsid w:val="00E52DB3"/>
    <w:rsid w:val="00E8243B"/>
    <w:rsid w:val="00EA40D4"/>
    <w:rsid w:val="00EE2D05"/>
    <w:rsid w:val="00EE33CE"/>
    <w:rsid w:val="00EF57BE"/>
    <w:rsid w:val="00F01E82"/>
    <w:rsid w:val="00F2271F"/>
    <w:rsid w:val="00F332A8"/>
    <w:rsid w:val="00F400ED"/>
    <w:rsid w:val="00F509A2"/>
    <w:rsid w:val="00F5386B"/>
    <w:rsid w:val="00F63F73"/>
    <w:rsid w:val="00F65C1B"/>
    <w:rsid w:val="00F701D2"/>
    <w:rsid w:val="00F73430"/>
    <w:rsid w:val="00F9287D"/>
    <w:rsid w:val="00F95258"/>
    <w:rsid w:val="00F9710A"/>
    <w:rsid w:val="00FB4EC4"/>
    <w:rsid w:val="00FC1F70"/>
    <w:rsid w:val="00FD2A91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868342C"/>
  <w15:chartTrackingRefBased/>
  <w15:docId w15:val="{7F38294B-0528-481B-84F1-1AFF983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B6"/>
    <w:rPr>
      <w:lang w:val="en-US"/>
    </w:rPr>
  </w:style>
  <w:style w:type="paragraph" w:styleId="1">
    <w:name w:val="heading 1"/>
    <w:basedOn w:val="a"/>
    <w:next w:val="a"/>
    <w:link w:val="10"/>
    <w:qFormat/>
    <w:rsid w:val="00722B7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1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D01B6"/>
    <w:rPr>
      <w:lang w:val="en-US"/>
    </w:rPr>
  </w:style>
  <w:style w:type="paragraph" w:styleId="a5">
    <w:name w:val="List Paragraph"/>
    <w:basedOn w:val="a"/>
    <w:qFormat/>
    <w:rsid w:val="00D72F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8D0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1E49"/>
    <w:rPr>
      <w:rFonts w:ascii="Segoe UI" w:hAnsi="Segoe UI" w:cs="Segoe UI"/>
      <w:sz w:val="18"/>
      <w:szCs w:val="18"/>
      <w:lang w:val="en-US"/>
    </w:rPr>
  </w:style>
  <w:style w:type="paragraph" w:customStyle="1" w:styleId="rvps2">
    <w:name w:val="rvps2"/>
    <w:basedOn w:val="a"/>
    <w:rsid w:val="0018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87B4F"/>
  </w:style>
  <w:style w:type="character" w:styleId="aa">
    <w:name w:val="Hyperlink"/>
    <w:basedOn w:val="a0"/>
    <w:uiPriority w:val="99"/>
    <w:semiHidden/>
    <w:unhideWhenUsed/>
    <w:rsid w:val="00187B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2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laceholder Text"/>
    <w:basedOn w:val="a0"/>
    <w:uiPriority w:val="99"/>
    <w:semiHidden/>
    <w:rsid w:val="00722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6510-A99F-4EEB-A07F-15A04C8F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5670</Words>
  <Characters>3233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Валентина М. Поліщук</cp:lastModifiedBy>
  <cp:revision>8</cp:revision>
  <cp:lastPrinted>2023-07-27T10:07:00Z</cp:lastPrinted>
  <dcterms:created xsi:type="dcterms:W3CDTF">2023-07-26T11:23:00Z</dcterms:created>
  <dcterms:modified xsi:type="dcterms:W3CDTF">2023-07-27T10:10:00Z</dcterms:modified>
</cp:coreProperties>
</file>