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63" w:rsidRDefault="007C6B63" w:rsidP="007C6B63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005E0" w:rsidRDefault="007005E0" w:rsidP="004D46B6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005E0" w:rsidRDefault="007005E0" w:rsidP="004D46B6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005E0" w:rsidRDefault="007005E0" w:rsidP="004D46B6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005E0" w:rsidRDefault="007005E0" w:rsidP="004D46B6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005E0" w:rsidRDefault="007005E0" w:rsidP="004D46B6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C6B63" w:rsidRPr="007C6B63" w:rsidRDefault="007C6B63" w:rsidP="004D46B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C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закриття конституційного провадження у справі за конституційною скаргою </w:t>
      </w:r>
      <w:proofErr w:type="spellStart"/>
      <w:r w:rsidRPr="007C6B63">
        <w:rPr>
          <w:rFonts w:ascii="Times New Roman" w:hAnsi="Times New Roman" w:cs="Times New Roman"/>
          <w:b/>
          <w:sz w:val="28"/>
          <w:szCs w:val="28"/>
        </w:rPr>
        <w:t>Бородкіна</w:t>
      </w:r>
      <w:proofErr w:type="spellEnd"/>
      <w:r w:rsidRPr="007C6B63">
        <w:rPr>
          <w:rFonts w:ascii="Times New Roman" w:hAnsi="Times New Roman" w:cs="Times New Roman"/>
          <w:b/>
          <w:sz w:val="28"/>
          <w:szCs w:val="28"/>
        </w:rPr>
        <w:t xml:space="preserve"> Михайла Володимировича щодо відповідності Конституції України (конституційності) положення абзацу другого </w:t>
      </w:r>
      <w:r w:rsidR="007005E0">
        <w:rPr>
          <w:rFonts w:ascii="Times New Roman" w:hAnsi="Times New Roman" w:cs="Times New Roman"/>
          <w:b/>
          <w:sz w:val="28"/>
          <w:szCs w:val="28"/>
        </w:rPr>
        <w:br/>
      </w:r>
      <w:r w:rsidRPr="007C6B63">
        <w:rPr>
          <w:rFonts w:ascii="Times New Roman" w:hAnsi="Times New Roman" w:cs="Times New Roman"/>
          <w:b/>
          <w:sz w:val="28"/>
          <w:szCs w:val="28"/>
        </w:rPr>
        <w:t xml:space="preserve">частини першої статті 9 Закону України </w:t>
      </w:r>
      <w:r w:rsidR="000F1064" w:rsidRPr="000F1064">
        <w:rPr>
          <w:rFonts w:ascii="Times New Roman" w:hAnsi="Times New Roman" w:cs="Times New Roman"/>
          <w:b/>
          <w:sz w:val="28"/>
          <w:szCs w:val="28"/>
        </w:rPr>
        <w:t>„</w:t>
      </w:r>
      <w:r w:rsidRPr="007C6B63">
        <w:rPr>
          <w:rFonts w:ascii="Times New Roman" w:hAnsi="Times New Roman" w:cs="Times New Roman"/>
          <w:b/>
          <w:sz w:val="28"/>
          <w:szCs w:val="28"/>
        </w:rPr>
        <w:t>Про Державне бюро розслідувань</w:t>
      </w:r>
      <w:r w:rsidR="000F1064" w:rsidRPr="000F1064">
        <w:rPr>
          <w:rFonts w:ascii="Times New Roman" w:hAnsi="Times New Roman" w:cs="Times New Roman"/>
          <w:b/>
          <w:sz w:val="28"/>
          <w:szCs w:val="28"/>
        </w:rPr>
        <w:t>“</w:t>
      </w:r>
    </w:p>
    <w:p w:rsidR="007005E0" w:rsidRDefault="007005E0" w:rsidP="007C6B63">
      <w:pPr>
        <w:tabs>
          <w:tab w:val="center" w:pos="4820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309" w:rsidRDefault="00736309" w:rsidP="007C6B63">
      <w:pPr>
        <w:tabs>
          <w:tab w:val="center" w:pos="4820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B63" w:rsidRPr="00C24CF5" w:rsidRDefault="007C6B63" w:rsidP="007005E0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</w:t>
      </w:r>
      <w:r w:rsidR="00700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3-227/2021(468/21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7C6B63" w:rsidRPr="00C24CF5" w:rsidRDefault="00320BB7" w:rsidP="007C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6B63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 2023</w:t>
      </w:r>
      <w:r w:rsidR="007C6B63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7C6B63" w:rsidRPr="00C24CF5" w:rsidRDefault="007C6B63" w:rsidP="007C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20BB7" w:rsidRPr="00FC3B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</w:t>
      </w:r>
      <w:r w:rsidR="00F5334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320BB7">
        <w:rPr>
          <w:rFonts w:ascii="Times New Roman" w:hAnsi="Times New Roman" w:cs="Times New Roman"/>
          <w:sz w:val="28"/>
          <w:szCs w:val="28"/>
          <w:shd w:val="clear" w:color="auto" w:fill="FFFFFF"/>
        </w:rPr>
        <w:t>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(І)/2023</w:t>
      </w:r>
    </w:p>
    <w:p w:rsidR="007C6B63" w:rsidRDefault="007C6B63" w:rsidP="007C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005E0" w:rsidRPr="00C24CF5" w:rsidRDefault="007005E0" w:rsidP="007C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B63" w:rsidRPr="00C24CF5" w:rsidRDefault="007C6B63" w:rsidP="007C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сенат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7C6B63" w:rsidRPr="007C6B63" w:rsidRDefault="007C6B63" w:rsidP="007C6B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B63" w:rsidRPr="007C6B63" w:rsidRDefault="007C6B63" w:rsidP="007C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B63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="008C3645">
        <w:rPr>
          <w:rFonts w:ascii="Times New Roman" w:hAnsi="Times New Roman" w:cs="Times New Roman"/>
          <w:sz w:val="28"/>
          <w:szCs w:val="28"/>
        </w:rPr>
        <w:t>–</w:t>
      </w:r>
      <w:r w:rsidRPr="007C6B63">
        <w:rPr>
          <w:rFonts w:ascii="Times New Roman" w:hAnsi="Times New Roman" w:cs="Times New Roman"/>
          <w:sz w:val="28"/>
          <w:szCs w:val="28"/>
        </w:rPr>
        <w:t xml:space="preserve"> головуючого, </w:t>
      </w:r>
    </w:p>
    <w:p w:rsidR="007C6B63" w:rsidRPr="007C6B63" w:rsidRDefault="007C6B63" w:rsidP="007C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B63">
        <w:rPr>
          <w:rFonts w:ascii="Times New Roman" w:hAnsi="Times New Roman" w:cs="Times New Roman"/>
          <w:sz w:val="28"/>
          <w:szCs w:val="28"/>
        </w:rPr>
        <w:t xml:space="preserve">Грищук Оксани Вікторівни, </w:t>
      </w:r>
    </w:p>
    <w:p w:rsidR="007C6B63" w:rsidRPr="007C6B63" w:rsidRDefault="007C6B63" w:rsidP="007C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B63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7C6B63">
        <w:rPr>
          <w:rFonts w:ascii="Times New Roman" w:hAnsi="Times New Roman" w:cs="Times New Roman"/>
          <w:sz w:val="28"/>
          <w:szCs w:val="28"/>
        </w:rPr>
        <w:t xml:space="preserve"> Віктора Івановича, </w:t>
      </w:r>
    </w:p>
    <w:p w:rsidR="007C6B63" w:rsidRPr="007C6B63" w:rsidRDefault="007C6B63" w:rsidP="007C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B63">
        <w:rPr>
          <w:rFonts w:ascii="Times New Roman" w:hAnsi="Times New Roman" w:cs="Times New Roman"/>
          <w:sz w:val="28"/>
          <w:szCs w:val="28"/>
        </w:rPr>
        <w:t xml:space="preserve">Колісника Віктора Павловича, </w:t>
      </w:r>
    </w:p>
    <w:p w:rsidR="007C6B63" w:rsidRDefault="007C6B63" w:rsidP="007C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B63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7C6B63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6B63">
        <w:rPr>
          <w:rFonts w:ascii="Times New Roman" w:hAnsi="Times New Roman" w:cs="Times New Roman"/>
          <w:sz w:val="28"/>
          <w:szCs w:val="28"/>
        </w:rPr>
        <w:t xml:space="preserve"> доповідача</w:t>
      </w:r>
      <w:r w:rsidR="00565586">
        <w:rPr>
          <w:rFonts w:ascii="Times New Roman" w:hAnsi="Times New Roman" w:cs="Times New Roman"/>
          <w:sz w:val="28"/>
          <w:szCs w:val="28"/>
        </w:rPr>
        <w:t>,</w:t>
      </w:r>
    </w:p>
    <w:p w:rsidR="007C6B63" w:rsidRPr="007C6B63" w:rsidRDefault="007C6B63" w:rsidP="007C6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Володимирівни</w:t>
      </w:r>
      <w:r w:rsidRPr="007C6B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6B63" w:rsidRPr="007C6B63" w:rsidRDefault="007C6B63" w:rsidP="007C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7C6B63">
        <w:rPr>
          <w:rFonts w:ascii="Times New Roman" w:hAnsi="Times New Roman" w:cs="Times New Roman"/>
          <w:sz w:val="28"/>
          <w:szCs w:val="28"/>
        </w:rPr>
        <w:t>,</w:t>
      </w:r>
    </w:p>
    <w:p w:rsidR="000F1064" w:rsidRPr="000F1064" w:rsidRDefault="000F1064" w:rsidP="007005E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064" w:rsidRDefault="000F1064" w:rsidP="007005E0">
      <w:pPr>
        <w:tabs>
          <w:tab w:val="left" w:pos="168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64">
        <w:rPr>
          <w:rFonts w:ascii="Times New Roman" w:hAnsi="Times New Roman" w:cs="Times New Roman"/>
          <w:sz w:val="28"/>
          <w:szCs w:val="28"/>
        </w:rPr>
        <w:t xml:space="preserve">розглянув на пленарному засіданні справу за конституційною скаргою </w:t>
      </w:r>
      <w:proofErr w:type="spellStart"/>
      <w:r w:rsidRPr="000F1064">
        <w:rPr>
          <w:rFonts w:ascii="Times New Roman" w:hAnsi="Times New Roman" w:cs="Times New Roman"/>
          <w:sz w:val="28"/>
          <w:szCs w:val="28"/>
        </w:rPr>
        <w:t>Бородкіна</w:t>
      </w:r>
      <w:proofErr w:type="spellEnd"/>
      <w:r w:rsidRPr="000F1064">
        <w:rPr>
          <w:rFonts w:ascii="Times New Roman" w:hAnsi="Times New Roman" w:cs="Times New Roman"/>
          <w:sz w:val="28"/>
          <w:szCs w:val="28"/>
        </w:rPr>
        <w:t xml:space="preserve"> Михайла Володимировича щодо відповідності Конституції України (конституційності) положення абзацу другого частини першої статті 9 Закону України „Про Державне бюро розслідувань“</w:t>
      </w:r>
      <w:r w:rsidRPr="00573F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12 листопада 2015 року </w:t>
      </w:r>
      <w:r w:rsidR="008C37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07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794</w:t>
      </w:r>
      <w:r w:rsidR="008C37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(Відомості Верховної Ради України, 2016 р., № 6, ст. 55) зі змінами.</w:t>
      </w:r>
    </w:p>
    <w:p w:rsidR="007005E0" w:rsidRDefault="007005E0" w:rsidP="007005E0">
      <w:pPr>
        <w:tabs>
          <w:tab w:val="left" w:pos="168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296" w:rsidRDefault="000F1064" w:rsidP="007005E0">
      <w:pPr>
        <w:tabs>
          <w:tab w:val="left" w:pos="168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суддю-доповід</w:t>
      </w:r>
      <w:r w:rsidRPr="000F1064">
        <w:rPr>
          <w:rFonts w:ascii="Times New Roman" w:hAnsi="Times New Roman" w:cs="Times New Roman"/>
          <w:sz w:val="28"/>
          <w:szCs w:val="28"/>
        </w:rPr>
        <w:t xml:space="preserve">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0F106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дослідивши матері</w:t>
      </w:r>
      <w:r w:rsidRPr="000F1064">
        <w:rPr>
          <w:rFonts w:ascii="Times New Roman" w:hAnsi="Times New Roman" w:cs="Times New Roman"/>
          <w:sz w:val="28"/>
          <w:szCs w:val="28"/>
        </w:rPr>
        <w:t>али справи, Перший сенат Конституційного Суду</w:t>
      </w:r>
      <w:r w:rsidR="00A11FD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005E0" w:rsidRDefault="007005E0" w:rsidP="007005E0">
      <w:pPr>
        <w:tabs>
          <w:tab w:val="left" w:pos="1680"/>
        </w:tabs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64" w:rsidRDefault="000F1064" w:rsidP="007005E0">
      <w:pPr>
        <w:tabs>
          <w:tab w:val="left" w:pos="1680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0F106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6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05E0" w:rsidRDefault="007005E0" w:rsidP="007005E0">
      <w:pPr>
        <w:tabs>
          <w:tab w:val="left" w:pos="1680"/>
        </w:tabs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64" w:rsidRPr="00411F8C" w:rsidRDefault="00411F8C" w:rsidP="007005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064" w:rsidRPr="00411F8C">
        <w:rPr>
          <w:rFonts w:ascii="Times New Roman" w:hAnsi="Times New Roman" w:cs="Times New Roman"/>
          <w:sz w:val="28"/>
          <w:szCs w:val="28"/>
        </w:rPr>
        <w:t>До</w:t>
      </w:r>
      <w:r w:rsidR="000F1064" w:rsidRPr="00411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064" w:rsidRPr="00411F8C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звернувся </w:t>
      </w:r>
      <w:proofErr w:type="spellStart"/>
      <w:r w:rsidR="000F1064" w:rsidRPr="00411F8C">
        <w:rPr>
          <w:rFonts w:ascii="Times New Roman" w:hAnsi="Times New Roman" w:cs="Times New Roman"/>
          <w:sz w:val="28"/>
          <w:szCs w:val="28"/>
        </w:rPr>
        <w:t>Бородкін</w:t>
      </w:r>
      <w:proofErr w:type="spellEnd"/>
      <w:r w:rsidR="000F1064" w:rsidRPr="00411F8C">
        <w:rPr>
          <w:rFonts w:ascii="Times New Roman" w:hAnsi="Times New Roman" w:cs="Times New Roman"/>
          <w:sz w:val="28"/>
          <w:szCs w:val="28"/>
        </w:rPr>
        <w:t xml:space="preserve"> М.В. і</w:t>
      </w:r>
      <w:r w:rsidR="000F1064" w:rsidRPr="00411F8C">
        <w:rPr>
          <w:rFonts w:ascii="Times New Roman" w:hAnsi="Times New Roman" w:cs="Times New Roman"/>
          <w:color w:val="000000"/>
          <w:sz w:val="28"/>
          <w:szCs w:val="28"/>
        </w:rPr>
        <w:t>з клопотанням перевірити на відповідність статтям</w:t>
      </w:r>
      <w:r w:rsidR="00F62234" w:rsidRPr="00411F8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0F1064" w:rsidRPr="00411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2234" w:rsidRPr="00411F8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F1064" w:rsidRPr="00411F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2234" w:rsidRPr="00411F8C">
        <w:rPr>
          <w:rFonts w:ascii="Times New Roman" w:hAnsi="Times New Roman" w:cs="Times New Roman"/>
          <w:color w:val="000000"/>
          <w:sz w:val="28"/>
          <w:szCs w:val="28"/>
        </w:rPr>
        <w:t xml:space="preserve"> частини другої статті 19,</w:t>
      </w:r>
      <w:r w:rsidR="00C53845" w:rsidRPr="00411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45" w:rsidRPr="00411F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статті 106, частини першої статті 113, статті 116</w:t>
      </w:r>
      <w:r w:rsidR="000F1064" w:rsidRPr="00411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064" w:rsidRPr="00411F8C">
        <w:rPr>
          <w:rFonts w:ascii="Times New Roman" w:hAnsi="Times New Roman" w:cs="Times New Roman"/>
          <w:sz w:val="28"/>
          <w:szCs w:val="28"/>
        </w:rPr>
        <w:t xml:space="preserve">Конституції України (конституційність) положення абзацу другого частини першої статті 9 Закону України „Про Державне бюро розслідувань“ від 12 листопада 2015 року </w:t>
      </w:r>
      <w:r w:rsidR="008C3785">
        <w:rPr>
          <w:rFonts w:ascii="Times New Roman" w:hAnsi="Times New Roman" w:cs="Times New Roman"/>
          <w:sz w:val="28"/>
          <w:szCs w:val="28"/>
        </w:rPr>
        <w:br/>
      </w:r>
      <w:r w:rsidR="000F1064" w:rsidRPr="00411F8C">
        <w:rPr>
          <w:rFonts w:ascii="Times New Roman" w:hAnsi="Times New Roman" w:cs="Times New Roman"/>
          <w:sz w:val="28"/>
          <w:szCs w:val="28"/>
        </w:rPr>
        <w:t xml:space="preserve">№ </w:t>
      </w:r>
      <w:r w:rsidR="008C3645">
        <w:rPr>
          <w:rFonts w:ascii="Times New Roman" w:hAnsi="Times New Roman" w:cs="Times New Roman"/>
          <w:sz w:val="28"/>
          <w:szCs w:val="28"/>
        </w:rPr>
        <w:t> </w:t>
      </w:r>
      <w:r w:rsidR="000F1064" w:rsidRPr="00411F8C">
        <w:rPr>
          <w:rFonts w:ascii="Times New Roman" w:hAnsi="Times New Roman" w:cs="Times New Roman"/>
          <w:sz w:val="28"/>
          <w:szCs w:val="28"/>
        </w:rPr>
        <w:t>794</w:t>
      </w:r>
      <w:r w:rsidR="008C3785">
        <w:rPr>
          <w:rFonts w:ascii="Times New Roman" w:hAnsi="Times New Roman" w:cs="Times New Roman"/>
          <w:sz w:val="28"/>
          <w:szCs w:val="28"/>
        </w:rPr>
        <w:t>–</w:t>
      </w:r>
      <w:r w:rsidR="000F1064" w:rsidRPr="00411F8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ІІІ </w:t>
      </w:r>
      <w:r w:rsidR="00366B62">
        <w:rPr>
          <w:rFonts w:ascii="Times New Roman" w:hAnsi="Times New Roman" w:cs="Times New Roman"/>
          <w:sz w:val="28"/>
          <w:szCs w:val="28"/>
        </w:rPr>
        <w:t xml:space="preserve">зі змінами </w:t>
      </w:r>
      <w:r>
        <w:rPr>
          <w:rFonts w:ascii="Times New Roman" w:hAnsi="Times New Roman" w:cs="Times New Roman"/>
          <w:sz w:val="28"/>
          <w:szCs w:val="28"/>
        </w:rPr>
        <w:t xml:space="preserve">(далі </w:t>
      </w:r>
      <w:r w:rsidR="000F1064" w:rsidRPr="00411F8C">
        <w:rPr>
          <w:rFonts w:ascii="Times New Roman" w:hAnsi="Times New Roman" w:cs="Times New Roman"/>
          <w:sz w:val="28"/>
          <w:szCs w:val="28"/>
        </w:rPr>
        <w:t>– Закон</w:t>
      </w:r>
      <w:r w:rsidR="00C364DC" w:rsidRPr="00411F8C">
        <w:rPr>
          <w:rFonts w:ascii="Times New Roman" w:hAnsi="Times New Roman" w:cs="Times New Roman"/>
          <w:sz w:val="28"/>
          <w:szCs w:val="28"/>
        </w:rPr>
        <w:t xml:space="preserve">), </w:t>
      </w:r>
      <w:r w:rsidR="00157CC7" w:rsidRPr="00411F8C">
        <w:rPr>
          <w:rFonts w:ascii="Times New Roman" w:hAnsi="Times New Roman" w:cs="Times New Roman"/>
          <w:sz w:val="28"/>
          <w:szCs w:val="28"/>
        </w:rPr>
        <w:t>згідно з яким</w:t>
      </w:r>
      <w:r w:rsidR="000F1064" w:rsidRPr="00411F8C">
        <w:rPr>
          <w:rFonts w:ascii="Times New Roman" w:hAnsi="Times New Roman" w:cs="Times New Roman"/>
          <w:sz w:val="28"/>
          <w:szCs w:val="28"/>
        </w:rPr>
        <w:t xml:space="preserve"> „організаційна структура Державного бюро розслідувань визначається Президентом України“.</w:t>
      </w:r>
    </w:p>
    <w:p w:rsidR="00F302CB" w:rsidRPr="00F302CB" w:rsidRDefault="00F302CB" w:rsidP="007005E0">
      <w:pPr>
        <w:pStyle w:val="a4"/>
        <w:spacing w:line="33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</w:t>
      </w:r>
      <w:r w:rsidRPr="00C36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єкт права на конституційну скаргу вважає, що </w:t>
      </w:r>
      <w:r w:rsidR="008C3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оспорюваним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положенням </w:t>
      </w:r>
      <w:r w:rsidR="008C3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Закону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порушено його </w:t>
      </w:r>
      <w:r w:rsidRPr="00E65C38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право визначене статтею 32 Конституції України, що ніхто не може зазнавати втручання в його особисте і сімейне життя, крім випадків, передбачених Конституцією України, а також статтею 43 Конституції України відповідно до якої кожен має право на працю, що включає можливість заробляти собі на життя працею, яку він вільно обирає або на яку вільно погоджується</w:t>
      </w:r>
      <w:r w:rsidR="003B1B41" w:rsidRPr="00E65C3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845" w:rsidRDefault="00C53845" w:rsidP="007005E0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38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proofErr w:type="spellStart"/>
      <w:r w:rsidRPr="00E65C38">
        <w:rPr>
          <w:rFonts w:ascii="Times New Roman" w:hAnsi="Times New Roman" w:cs="Times New Roman"/>
          <w:color w:val="000000"/>
          <w:sz w:val="28"/>
          <w:szCs w:val="28"/>
        </w:rPr>
        <w:t>Бородкін</w:t>
      </w:r>
      <w:proofErr w:type="spellEnd"/>
      <w:r w:rsidRPr="00E65C38">
        <w:rPr>
          <w:rFonts w:ascii="Times New Roman" w:hAnsi="Times New Roman" w:cs="Times New Roman"/>
          <w:color w:val="000000"/>
          <w:sz w:val="28"/>
          <w:szCs w:val="28"/>
        </w:rPr>
        <w:t xml:space="preserve"> М.В. посилається на окремі приписи Конституції України, закони України, рішення Конституційного Суду України, практику Європейського суду з прав людини, </w:t>
      </w:r>
      <w:r w:rsidR="00366B62">
        <w:rPr>
          <w:rFonts w:ascii="Times New Roman" w:hAnsi="Times New Roman" w:cs="Times New Roman"/>
          <w:color w:val="000000"/>
          <w:sz w:val="28"/>
          <w:szCs w:val="28"/>
        </w:rPr>
        <w:t>міжнародні акти</w:t>
      </w:r>
      <w:r w:rsidRPr="00E65C38">
        <w:rPr>
          <w:rFonts w:ascii="Times New Roman" w:hAnsi="Times New Roman" w:cs="Times New Roman"/>
          <w:color w:val="000000"/>
          <w:sz w:val="28"/>
          <w:szCs w:val="28"/>
        </w:rPr>
        <w:t>, а також на судові рішення у його справі.</w:t>
      </w:r>
    </w:p>
    <w:p w:rsidR="007005E0" w:rsidRPr="00E65C38" w:rsidRDefault="007005E0" w:rsidP="007005E0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1D3" w:rsidRDefault="007005E0" w:rsidP="007005E0">
      <w:pPr>
        <w:pStyle w:val="a4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A61D3" w:rsidRPr="00E65C38">
        <w:rPr>
          <w:rFonts w:ascii="Times New Roman" w:hAnsi="Times New Roman" w:cs="Times New Roman"/>
          <w:sz w:val="28"/>
          <w:szCs w:val="28"/>
        </w:rPr>
        <w:t>Третя колегія суд</w:t>
      </w:r>
      <w:r w:rsidR="008C3645">
        <w:rPr>
          <w:rFonts w:ascii="Times New Roman" w:hAnsi="Times New Roman" w:cs="Times New Roman"/>
          <w:sz w:val="28"/>
          <w:szCs w:val="28"/>
        </w:rPr>
        <w:t>д</w:t>
      </w:r>
      <w:r w:rsidR="001A61D3" w:rsidRPr="00E65C38">
        <w:rPr>
          <w:rFonts w:ascii="Times New Roman" w:hAnsi="Times New Roman" w:cs="Times New Roman"/>
          <w:sz w:val="28"/>
          <w:szCs w:val="28"/>
        </w:rPr>
        <w:t xml:space="preserve">ів Першого сенату Конституційного Суду України Ухвалою від 20 січня 2022 року відкрила конституційне провадження у цій справі. </w:t>
      </w:r>
    </w:p>
    <w:p w:rsidR="007005E0" w:rsidRPr="00E65C38" w:rsidRDefault="007005E0" w:rsidP="007005E0">
      <w:pPr>
        <w:pStyle w:val="a4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234" w:rsidRPr="007005E0" w:rsidRDefault="007005E0" w:rsidP="007005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A61D3" w:rsidRPr="007005E0">
        <w:rPr>
          <w:rFonts w:ascii="Times New Roman" w:hAnsi="Times New Roman" w:cs="Times New Roman"/>
          <w:sz w:val="28"/>
          <w:szCs w:val="28"/>
        </w:rPr>
        <w:t>Під час розгляду справи Перш</w:t>
      </w:r>
      <w:r w:rsidR="00F62234" w:rsidRPr="007005E0">
        <w:rPr>
          <w:rFonts w:ascii="Times New Roman" w:hAnsi="Times New Roman" w:cs="Times New Roman"/>
          <w:sz w:val="28"/>
          <w:szCs w:val="28"/>
        </w:rPr>
        <w:t>ий сенат Конституційного Суду У</w:t>
      </w:r>
      <w:r w:rsidR="001A61D3" w:rsidRPr="007005E0">
        <w:rPr>
          <w:rFonts w:ascii="Times New Roman" w:hAnsi="Times New Roman" w:cs="Times New Roman"/>
          <w:sz w:val="28"/>
          <w:szCs w:val="28"/>
        </w:rPr>
        <w:t>країни, повно та</w:t>
      </w:r>
      <w:r w:rsidR="00F62234" w:rsidRPr="007005E0">
        <w:rPr>
          <w:rFonts w:ascii="Times New Roman" w:hAnsi="Times New Roman" w:cs="Times New Roman"/>
          <w:sz w:val="28"/>
          <w:szCs w:val="28"/>
        </w:rPr>
        <w:t xml:space="preserve"> всебічно розглянувши матеріали справи, дійшов висновку про наявність підстав для закриття конституційного провадження у справі з огляду на таке.</w:t>
      </w:r>
    </w:p>
    <w:p w:rsidR="00003372" w:rsidRDefault="00F62234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38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8C3645">
        <w:rPr>
          <w:rFonts w:ascii="Times New Roman" w:hAnsi="Times New Roman" w:cs="Times New Roman"/>
          <w:sz w:val="28"/>
          <w:szCs w:val="28"/>
        </w:rPr>
        <w:t>і</w:t>
      </w:r>
      <w:r w:rsidRPr="00E65C38">
        <w:rPr>
          <w:rFonts w:ascii="Times New Roman" w:hAnsi="Times New Roman" w:cs="Times New Roman"/>
          <w:sz w:val="28"/>
          <w:szCs w:val="28"/>
        </w:rPr>
        <w:t xml:space="preserve">з Законом України </w:t>
      </w:r>
      <w:r w:rsidR="004466C3" w:rsidRPr="00E65C38">
        <w:rPr>
          <w:rFonts w:ascii="Times New Roman" w:hAnsi="Times New Roman" w:cs="Times New Roman"/>
          <w:sz w:val="28"/>
          <w:szCs w:val="28"/>
        </w:rPr>
        <w:t>„</w:t>
      </w:r>
      <w:r w:rsidRPr="00E65C38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4466C3" w:rsidRPr="00E65C38">
        <w:rPr>
          <w:rFonts w:ascii="Times New Roman" w:hAnsi="Times New Roman" w:cs="Times New Roman"/>
          <w:sz w:val="28"/>
          <w:szCs w:val="28"/>
        </w:rPr>
        <w:t>“</w:t>
      </w:r>
      <w:r w:rsidR="007005E0">
        <w:rPr>
          <w:rFonts w:ascii="Times New Roman" w:hAnsi="Times New Roman" w:cs="Times New Roman"/>
          <w:sz w:val="28"/>
          <w:szCs w:val="28"/>
        </w:rPr>
        <w:t xml:space="preserve"> </w:t>
      </w:r>
      <w:r w:rsidRPr="00E65C38">
        <w:rPr>
          <w:rFonts w:ascii="Times New Roman" w:hAnsi="Times New Roman" w:cs="Times New Roman"/>
          <w:sz w:val="28"/>
          <w:szCs w:val="28"/>
        </w:rPr>
        <w:t xml:space="preserve">сенат Конституційного Суду України закриває конституційне провадження у справі, якщо під час пленарного засідання будуть виявлені підстави для відмови у відкритті конституційного провадження, </w:t>
      </w:r>
      <w:r w:rsidR="008C3645">
        <w:rPr>
          <w:rFonts w:ascii="Times New Roman" w:hAnsi="Times New Roman" w:cs="Times New Roman"/>
          <w:sz w:val="28"/>
          <w:szCs w:val="28"/>
        </w:rPr>
        <w:t>визначені</w:t>
      </w:r>
      <w:r w:rsidRPr="00E65C38">
        <w:rPr>
          <w:rFonts w:ascii="Times New Roman" w:hAnsi="Times New Roman" w:cs="Times New Roman"/>
          <w:sz w:val="28"/>
          <w:szCs w:val="28"/>
        </w:rPr>
        <w:t xml:space="preserve"> статтею 62 цього закону (частина четверта статті 63); підставами для відмови у відкритті конституційного провадження у справі є, зокрема, неприйнятність</w:t>
      </w:r>
      <w:r w:rsidR="00FC3BC0">
        <w:rPr>
          <w:rFonts w:ascii="Times New Roman" w:hAnsi="Times New Roman" w:cs="Times New Roman"/>
          <w:sz w:val="28"/>
          <w:szCs w:val="28"/>
        </w:rPr>
        <w:t xml:space="preserve"> конституційної скарги</w:t>
      </w:r>
      <w:r w:rsidR="00FC3BC0">
        <w:rPr>
          <w:rFonts w:ascii="Times New Roman" w:hAnsi="Times New Roman" w:cs="Times New Roman"/>
          <w:sz w:val="28"/>
          <w:szCs w:val="28"/>
        </w:rPr>
        <w:br/>
        <w:t>(пункт</w:t>
      </w:r>
      <w:r w:rsidR="00E251B9" w:rsidRPr="00E65C38">
        <w:rPr>
          <w:rFonts w:ascii="Times New Roman" w:hAnsi="Times New Roman" w:cs="Times New Roman"/>
          <w:sz w:val="28"/>
          <w:szCs w:val="28"/>
        </w:rPr>
        <w:t xml:space="preserve"> </w:t>
      </w:r>
      <w:r w:rsidRPr="00E65C38">
        <w:rPr>
          <w:rFonts w:ascii="Times New Roman" w:hAnsi="Times New Roman" w:cs="Times New Roman"/>
          <w:sz w:val="28"/>
          <w:szCs w:val="28"/>
        </w:rPr>
        <w:t>4 статті 62).</w:t>
      </w:r>
    </w:p>
    <w:p w:rsidR="00C364DC" w:rsidRPr="00565586" w:rsidRDefault="00C364DC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372" w:rsidRPr="00E65C38" w:rsidRDefault="00FC3BC0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003372" w:rsidRPr="00E65C38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r w:rsidR="004466C3" w:rsidRPr="00E65C38">
        <w:rPr>
          <w:rFonts w:ascii="Times New Roman" w:hAnsi="Times New Roman" w:cs="Times New Roman"/>
          <w:sz w:val="28"/>
          <w:szCs w:val="28"/>
        </w:rPr>
        <w:t>„</w:t>
      </w:r>
      <w:r w:rsidR="00003372" w:rsidRPr="00E65C38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4466C3" w:rsidRPr="00E65C38">
        <w:rPr>
          <w:rFonts w:ascii="Times New Roman" w:hAnsi="Times New Roman" w:cs="Times New Roman"/>
          <w:sz w:val="28"/>
          <w:szCs w:val="28"/>
        </w:rPr>
        <w:t>“ конституційна скарга має мі</w:t>
      </w:r>
      <w:r w:rsidR="00003372" w:rsidRPr="00E65C38">
        <w:rPr>
          <w:rFonts w:ascii="Times New Roman" w:hAnsi="Times New Roman" w:cs="Times New Roman"/>
          <w:sz w:val="28"/>
          <w:szCs w:val="28"/>
        </w:rPr>
        <w:t xml:space="preserve">стити </w:t>
      </w:r>
      <w:r w:rsidR="00041647" w:rsidRPr="00E65C38">
        <w:rPr>
          <w:rFonts w:ascii="Times New Roman" w:hAnsi="Times New Roman" w:cs="Times New Roman"/>
          <w:sz w:val="28"/>
          <w:szCs w:val="28"/>
        </w:rPr>
        <w:t>обґрунтування</w:t>
      </w:r>
      <w:r w:rsidR="00003372" w:rsidRPr="00E65C38">
        <w:rPr>
          <w:rFonts w:ascii="Times New Roman" w:hAnsi="Times New Roman" w:cs="Times New Roman"/>
          <w:sz w:val="28"/>
          <w:szCs w:val="28"/>
        </w:rPr>
        <w:t xml:space="preserve"> тверджень щодо неконституційності закону України (його окремих положень) із зазначенням того, яке з гарантованих Конституцією Ук</w:t>
      </w:r>
      <w:r w:rsidR="004466C3" w:rsidRPr="00E65C38">
        <w:rPr>
          <w:rFonts w:ascii="Times New Roman" w:hAnsi="Times New Roman" w:cs="Times New Roman"/>
          <w:sz w:val="28"/>
          <w:szCs w:val="28"/>
        </w:rPr>
        <w:t>раїни прав людини, на думку суб’</w:t>
      </w:r>
      <w:r w:rsidR="00003372" w:rsidRPr="00E65C38">
        <w:rPr>
          <w:rFonts w:ascii="Times New Roman" w:hAnsi="Times New Roman" w:cs="Times New Roman"/>
          <w:sz w:val="28"/>
          <w:szCs w:val="28"/>
        </w:rPr>
        <w:t xml:space="preserve">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</w:t>
      </w:r>
      <w:r w:rsidR="008C3645">
        <w:rPr>
          <w:rFonts w:ascii="Times New Roman" w:hAnsi="Times New Roman" w:cs="Times New Roman"/>
          <w:sz w:val="28"/>
          <w:szCs w:val="28"/>
        </w:rPr>
        <w:t>визначеним</w:t>
      </w:r>
      <w:r w:rsidR="00003372" w:rsidRPr="00E65C38">
        <w:rPr>
          <w:rFonts w:ascii="Times New Roman" w:hAnsi="Times New Roman" w:cs="Times New Roman"/>
          <w:sz w:val="28"/>
          <w:szCs w:val="28"/>
        </w:rPr>
        <w:t>, зокрема, статтею 55 цього закону (абзац перший частини першої статті 77).</w:t>
      </w:r>
    </w:p>
    <w:p w:rsidR="00F62234" w:rsidRPr="004466C3" w:rsidRDefault="00003372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38">
        <w:rPr>
          <w:rFonts w:ascii="Times New Roman" w:hAnsi="Times New Roman" w:cs="Times New Roman"/>
          <w:sz w:val="28"/>
          <w:szCs w:val="28"/>
        </w:rPr>
        <w:t>Конституційний Суд України неодноразово наголошував, що особа, яка звертається до Конституційного</w:t>
      </w:r>
      <w:r w:rsidRPr="00003372">
        <w:rPr>
          <w:rFonts w:ascii="Times New Roman" w:hAnsi="Times New Roman" w:cs="Times New Roman"/>
          <w:sz w:val="28"/>
          <w:szCs w:val="28"/>
        </w:rPr>
        <w:t xml:space="preserve"> Суду України, повинна не лише зазначити, а й аргументовано довес</w:t>
      </w:r>
      <w:r w:rsidR="004466C3">
        <w:rPr>
          <w:rFonts w:ascii="Times New Roman" w:hAnsi="Times New Roman" w:cs="Times New Roman"/>
          <w:sz w:val="28"/>
          <w:szCs w:val="28"/>
        </w:rPr>
        <w:t>ти, як саме оспорюваний закон (</w:t>
      </w:r>
      <w:r w:rsidR="008C3645" w:rsidRPr="00003372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003372">
        <w:rPr>
          <w:rFonts w:ascii="Times New Roman" w:hAnsi="Times New Roman" w:cs="Times New Roman"/>
          <w:sz w:val="28"/>
          <w:szCs w:val="28"/>
        </w:rPr>
        <w:t>окремі положення), застосований в остаточному судовому рішенні, порушує її гарантоване Конституцією України право [ухвали Першого сенату</w:t>
      </w:r>
      <w:r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від</w:t>
      </w:r>
      <w:r w:rsidRPr="00003372">
        <w:rPr>
          <w:rFonts w:ascii="Times New Roman" w:hAnsi="Times New Roman" w:cs="Times New Roman"/>
          <w:sz w:val="28"/>
          <w:szCs w:val="28"/>
        </w:rPr>
        <w:t xml:space="preserve"> 13 червня 2018 року № 20-у(І)/2018, Другого сенату Конституційного Суду України від 3 </w:t>
      </w:r>
      <w:r w:rsidRPr="004466C3">
        <w:rPr>
          <w:rFonts w:ascii="Times New Roman" w:hAnsi="Times New Roman" w:cs="Times New Roman"/>
          <w:sz w:val="28"/>
          <w:szCs w:val="28"/>
        </w:rPr>
        <w:t>червня 2020 року № 10-уп(ІІ)/2020].</w:t>
      </w:r>
    </w:p>
    <w:p w:rsidR="000D2577" w:rsidRPr="000865E8" w:rsidRDefault="008C3645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CB4C01">
        <w:rPr>
          <w:rFonts w:ascii="Times New Roman" w:hAnsi="Times New Roman" w:cs="Times New Roman"/>
          <w:sz w:val="28"/>
          <w:szCs w:val="28"/>
        </w:rPr>
        <w:t xml:space="preserve"> </w:t>
      </w:r>
      <w:r w:rsidR="000D2577" w:rsidRPr="000D2577">
        <w:rPr>
          <w:rFonts w:ascii="Times New Roman" w:hAnsi="Times New Roman" w:cs="Times New Roman"/>
          <w:sz w:val="28"/>
          <w:szCs w:val="28"/>
        </w:rPr>
        <w:t>конституційної скарги вбачається, що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577" w:rsidRPr="000D2577">
        <w:rPr>
          <w:rFonts w:ascii="Times New Roman" w:hAnsi="Times New Roman" w:cs="Times New Roman"/>
          <w:sz w:val="28"/>
          <w:szCs w:val="28"/>
        </w:rPr>
        <w:t xml:space="preserve"> піддаючи сумніву відповідність</w:t>
      </w:r>
      <w:r w:rsidR="001A7786">
        <w:rPr>
          <w:rFonts w:ascii="Times New Roman" w:hAnsi="Times New Roman" w:cs="Times New Roman"/>
          <w:sz w:val="28"/>
          <w:szCs w:val="28"/>
        </w:rPr>
        <w:t xml:space="preserve"> Конституції України оспорюваного положення</w:t>
      </w:r>
      <w:r w:rsidR="000D2577" w:rsidRPr="000D2577">
        <w:rPr>
          <w:rFonts w:ascii="Times New Roman" w:hAnsi="Times New Roman" w:cs="Times New Roman"/>
          <w:sz w:val="28"/>
          <w:szCs w:val="28"/>
        </w:rPr>
        <w:t xml:space="preserve"> </w:t>
      </w:r>
      <w:r w:rsidR="001A7786">
        <w:rPr>
          <w:rFonts w:ascii="Times New Roman" w:hAnsi="Times New Roman" w:cs="Times New Roman"/>
          <w:sz w:val="28"/>
          <w:szCs w:val="28"/>
        </w:rPr>
        <w:t>Закону</w:t>
      </w:r>
      <w:r w:rsidR="000D2577" w:rsidRPr="000D2577">
        <w:rPr>
          <w:rFonts w:ascii="Times New Roman" w:hAnsi="Times New Roman" w:cs="Times New Roman"/>
          <w:sz w:val="28"/>
          <w:szCs w:val="28"/>
        </w:rPr>
        <w:t xml:space="preserve">, </w:t>
      </w:r>
      <w:r w:rsidR="000D2577" w:rsidRPr="000865E8">
        <w:rPr>
          <w:rFonts w:ascii="Times New Roman" w:hAnsi="Times New Roman" w:cs="Times New Roman"/>
          <w:sz w:val="28"/>
          <w:szCs w:val="28"/>
        </w:rPr>
        <w:t xml:space="preserve">автор клопотання </w:t>
      </w:r>
      <w:r w:rsidR="001A7786">
        <w:rPr>
          <w:rFonts w:ascii="Times New Roman" w:hAnsi="Times New Roman" w:cs="Times New Roman"/>
          <w:sz w:val="28"/>
          <w:szCs w:val="28"/>
        </w:rPr>
        <w:t>намагається довести, що визначення організаційної структури Державного бюро</w:t>
      </w:r>
      <w:r>
        <w:rPr>
          <w:rFonts w:ascii="Times New Roman" w:hAnsi="Times New Roman" w:cs="Times New Roman"/>
          <w:sz w:val="28"/>
          <w:szCs w:val="28"/>
        </w:rPr>
        <w:t xml:space="preserve"> розслідувань має бути віднесене</w:t>
      </w:r>
      <w:r w:rsidR="001A7786">
        <w:rPr>
          <w:rFonts w:ascii="Times New Roman" w:hAnsi="Times New Roman" w:cs="Times New Roman"/>
          <w:sz w:val="28"/>
          <w:szCs w:val="28"/>
        </w:rPr>
        <w:t xml:space="preserve"> до компетенції Кабінету Міністрів України як вищого органу у системі органів виконавчої влади.</w:t>
      </w:r>
    </w:p>
    <w:p w:rsidR="00A56142" w:rsidRPr="00A56142" w:rsidRDefault="008C3645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</w:t>
      </w:r>
      <w:r w:rsidR="000D2577" w:rsidRPr="00086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142" w:rsidRPr="000865E8">
        <w:rPr>
          <w:rFonts w:ascii="Times New Roman" w:hAnsi="Times New Roman" w:cs="Times New Roman"/>
          <w:sz w:val="28"/>
          <w:szCs w:val="28"/>
        </w:rPr>
        <w:t>Бородкін</w:t>
      </w:r>
      <w:proofErr w:type="spellEnd"/>
      <w:r w:rsidR="00A56142" w:rsidRPr="000865E8">
        <w:rPr>
          <w:rFonts w:ascii="Times New Roman" w:hAnsi="Times New Roman" w:cs="Times New Roman"/>
          <w:sz w:val="28"/>
          <w:szCs w:val="28"/>
        </w:rPr>
        <w:t xml:space="preserve"> М.В.</w:t>
      </w:r>
      <w:r w:rsidR="001A7786">
        <w:rPr>
          <w:rFonts w:ascii="Times New Roman" w:hAnsi="Times New Roman" w:cs="Times New Roman"/>
          <w:sz w:val="28"/>
          <w:szCs w:val="28"/>
        </w:rPr>
        <w:t xml:space="preserve"> </w:t>
      </w:r>
      <w:r w:rsidR="00A56142" w:rsidRPr="000D2577">
        <w:rPr>
          <w:rFonts w:ascii="Times New Roman" w:hAnsi="Times New Roman" w:cs="Times New Roman"/>
          <w:sz w:val="28"/>
          <w:szCs w:val="28"/>
        </w:rPr>
        <w:t xml:space="preserve">не обґрунтував, яким чином </w:t>
      </w:r>
      <w:r w:rsidR="00AB49C2">
        <w:rPr>
          <w:rFonts w:ascii="Times New Roman" w:hAnsi="Times New Roman" w:cs="Times New Roman"/>
          <w:sz w:val="28"/>
          <w:szCs w:val="28"/>
        </w:rPr>
        <w:t>оспорюване</w:t>
      </w:r>
      <w:r w:rsidR="00A56142">
        <w:rPr>
          <w:rFonts w:ascii="Times New Roman" w:hAnsi="Times New Roman" w:cs="Times New Roman"/>
          <w:sz w:val="28"/>
          <w:szCs w:val="28"/>
        </w:rPr>
        <w:t xml:space="preserve"> положення </w:t>
      </w:r>
      <w:r w:rsidR="00AB49C2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C364DC">
        <w:rPr>
          <w:rFonts w:ascii="Times New Roman" w:hAnsi="Times New Roman" w:cs="Times New Roman"/>
          <w:sz w:val="28"/>
          <w:szCs w:val="28"/>
        </w:rPr>
        <w:t xml:space="preserve">порушує його конституційні </w:t>
      </w:r>
      <w:r w:rsidR="00A56142">
        <w:rPr>
          <w:rFonts w:ascii="Times New Roman" w:hAnsi="Times New Roman" w:cs="Times New Roman"/>
          <w:sz w:val="28"/>
          <w:szCs w:val="28"/>
        </w:rPr>
        <w:t>прав</w:t>
      </w:r>
      <w:r w:rsidR="00C364DC">
        <w:rPr>
          <w:rFonts w:ascii="Times New Roman" w:hAnsi="Times New Roman" w:cs="Times New Roman"/>
          <w:sz w:val="28"/>
          <w:szCs w:val="28"/>
        </w:rPr>
        <w:t>а</w:t>
      </w:r>
      <w:r w:rsidR="00A56142">
        <w:rPr>
          <w:rFonts w:ascii="Times New Roman" w:hAnsi="Times New Roman" w:cs="Times New Roman"/>
          <w:sz w:val="28"/>
          <w:szCs w:val="28"/>
        </w:rPr>
        <w:t>, а</w:t>
      </w:r>
      <w:r w:rsidR="00C364DC">
        <w:rPr>
          <w:rFonts w:ascii="Times New Roman" w:hAnsi="Times New Roman" w:cs="Times New Roman"/>
          <w:sz w:val="28"/>
          <w:szCs w:val="28"/>
        </w:rPr>
        <w:t xml:space="preserve"> також не навів аргументів, які</w:t>
      </w:r>
      <w:r w:rsidR="00AB49C2">
        <w:rPr>
          <w:rFonts w:ascii="Times New Roman" w:hAnsi="Times New Roman" w:cs="Times New Roman"/>
          <w:sz w:val="28"/>
          <w:szCs w:val="28"/>
        </w:rPr>
        <w:t xml:space="preserve"> б вказували</w:t>
      </w:r>
      <w:r w:rsidR="00A56142">
        <w:rPr>
          <w:rFonts w:ascii="Times New Roman" w:hAnsi="Times New Roman" w:cs="Times New Roman"/>
          <w:sz w:val="28"/>
          <w:szCs w:val="28"/>
        </w:rPr>
        <w:t xml:space="preserve"> на </w:t>
      </w:r>
      <w:r w:rsidR="00AB49C2">
        <w:rPr>
          <w:rFonts w:ascii="Times New Roman" w:hAnsi="Times New Roman" w:cs="Times New Roman"/>
          <w:sz w:val="28"/>
          <w:szCs w:val="28"/>
        </w:rPr>
        <w:t xml:space="preserve">те, що </w:t>
      </w:r>
      <w:r w:rsidR="00C364DC">
        <w:rPr>
          <w:rFonts w:ascii="Times New Roman" w:hAnsi="Times New Roman" w:cs="Times New Roman"/>
          <w:sz w:val="28"/>
          <w:szCs w:val="28"/>
        </w:rPr>
        <w:t>визначення Президентом України організаційної структури Державного бюро розслідувань призвело до порушення</w:t>
      </w:r>
      <w:r w:rsidR="001C0443">
        <w:rPr>
          <w:rFonts w:ascii="Times New Roman" w:hAnsi="Times New Roman" w:cs="Times New Roman"/>
          <w:sz w:val="28"/>
          <w:szCs w:val="28"/>
        </w:rPr>
        <w:t xml:space="preserve"> </w:t>
      </w:r>
      <w:r w:rsidR="00AB49C2">
        <w:rPr>
          <w:rFonts w:ascii="Times New Roman" w:hAnsi="Times New Roman" w:cs="Times New Roman"/>
          <w:sz w:val="28"/>
          <w:szCs w:val="28"/>
        </w:rPr>
        <w:t xml:space="preserve">його </w:t>
      </w:r>
      <w:r w:rsidR="001C0443">
        <w:rPr>
          <w:rFonts w:ascii="Times New Roman" w:hAnsi="Times New Roman" w:cs="Times New Roman"/>
          <w:sz w:val="28"/>
          <w:szCs w:val="28"/>
        </w:rPr>
        <w:t>прав</w:t>
      </w:r>
      <w:r w:rsidR="001A7786">
        <w:rPr>
          <w:rFonts w:ascii="Times New Roman" w:hAnsi="Times New Roman" w:cs="Times New Roman"/>
          <w:sz w:val="28"/>
          <w:szCs w:val="28"/>
        </w:rPr>
        <w:t>, гарантованих Конституцією України</w:t>
      </w:r>
      <w:r w:rsidR="00A56142">
        <w:rPr>
          <w:rFonts w:ascii="Times New Roman" w:hAnsi="Times New Roman" w:cs="Times New Roman"/>
          <w:sz w:val="28"/>
          <w:szCs w:val="28"/>
        </w:rPr>
        <w:t>.</w:t>
      </w:r>
    </w:p>
    <w:p w:rsidR="00AA0009" w:rsidRPr="00962E72" w:rsidRDefault="00AB49C2" w:rsidP="007005E0">
      <w:pPr>
        <w:pStyle w:val="a3"/>
        <w:spacing w:after="0"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041647" w:rsidRPr="00446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6C3">
        <w:rPr>
          <w:rFonts w:ascii="Times New Roman" w:hAnsi="Times New Roman" w:cs="Times New Roman"/>
          <w:sz w:val="28"/>
          <w:szCs w:val="28"/>
        </w:rPr>
        <w:t>Бородкін</w:t>
      </w:r>
      <w:proofErr w:type="spellEnd"/>
      <w:r w:rsidR="004466C3">
        <w:rPr>
          <w:rFonts w:ascii="Times New Roman" w:hAnsi="Times New Roman" w:cs="Times New Roman"/>
          <w:sz w:val="28"/>
          <w:szCs w:val="28"/>
        </w:rPr>
        <w:t xml:space="preserve"> М.В. не дотримав</w:t>
      </w:r>
      <w:r w:rsidR="00041647" w:rsidRPr="004466C3">
        <w:rPr>
          <w:rFonts w:ascii="Times New Roman" w:hAnsi="Times New Roman" w:cs="Times New Roman"/>
          <w:sz w:val="28"/>
          <w:szCs w:val="28"/>
        </w:rPr>
        <w:t xml:space="preserve"> вимог п</w:t>
      </w:r>
      <w:r w:rsidR="00962E72">
        <w:rPr>
          <w:rFonts w:ascii="Times New Roman" w:hAnsi="Times New Roman" w:cs="Times New Roman"/>
          <w:sz w:val="28"/>
          <w:szCs w:val="28"/>
        </w:rPr>
        <w:t>ункту 6 частини другої статті 55 Закону У</w:t>
      </w:r>
      <w:r w:rsidR="00041647" w:rsidRPr="004466C3">
        <w:rPr>
          <w:rFonts w:ascii="Times New Roman" w:hAnsi="Times New Roman" w:cs="Times New Roman"/>
          <w:sz w:val="28"/>
          <w:szCs w:val="28"/>
        </w:rPr>
        <w:t xml:space="preserve">країни </w:t>
      </w:r>
      <w:r w:rsidR="004466C3" w:rsidRPr="000F1064">
        <w:rPr>
          <w:rFonts w:ascii="Times New Roman" w:hAnsi="Times New Roman" w:cs="Times New Roman"/>
          <w:sz w:val="28"/>
          <w:szCs w:val="28"/>
        </w:rPr>
        <w:t>„</w:t>
      </w:r>
      <w:r w:rsidR="00041647" w:rsidRPr="004466C3">
        <w:rPr>
          <w:rFonts w:ascii="Times New Roman" w:hAnsi="Times New Roman" w:cs="Times New Roman"/>
          <w:sz w:val="28"/>
          <w:szCs w:val="28"/>
        </w:rPr>
        <w:t>Про Конституційний С</w:t>
      </w:r>
      <w:r w:rsidR="004466C3">
        <w:rPr>
          <w:rFonts w:ascii="Times New Roman" w:hAnsi="Times New Roman" w:cs="Times New Roman"/>
          <w:sz w:val="28"/>
          <w:szCs w:val="28"/>
        </w:rPr>
        <w:t>уд У</w:t>
      </w:r>
      <w:r w:rsidR="00041647" w:rsidRPr="004466C3">
        <w:rPr>
          <w:rFonts w:ascii="Times New Roman" w:hAnsi="Times New Roman" w:cs="Times New Roman"/>
          <w:sz w:val="28"/>
          <w:szCs w:val="28"/>
        </w:rPr>
        <w:t>країни</w:t>
      </w:r>
      <w:r w:rsidR="004466C3" w:rsidRPr="000F1064">
        <w:rPr>
          <w:rFonts w:ascii="Times New Roman" w:hAnsi="Times New Roman" w:cs="Times New Roman"/>
          <w:sz w:val="28"/>
          <w:szCs w:val="28"/>
        </w:rPr>
        <w:t>“</w:t>
      </w:r>
      <w:r w:rsidR="00041647" w:rsidRPr="004466C3">
        <w:rPr>
          <w:rFonts w:ascii="Times New Roman" w:hAnsi="Times New Roman" w:cs="Times New Roman"/>
          <w:sz w:val="28"/>
          <w:szCs w:val="28"/>
        </w:rPr>
        <w:t xml:space="preserve">, що є підставою для закриття конституційного провадження у справі згідно з пунктом 4 статті 62 цього закону </w:t>
      </w:r>
      <w:r w:rsidR="00D70E1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41647" w:rsidRPr="004466C3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:rsidR="00AA0009" w:rsidRDefault="00AA0009" w:rsidP="007005E0">
      <w:pPr>
        <w:spacing w:after="0" w:line="336" w:lineRule="auto"/>
        <w:ind w:firstLine="567"/>
      </w:pPr>
    </w:p>
    <w:p w:rsidR="00AA0009" w:rsidRPr="00AA0009" w:rsidRDefault="00AA0009" w:rsidP="007005E0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A0009">
        <w:rPr>
          <w:sz w:val="28"/>
          <w:szCs w:val="28"/>
        </w:rPr>
        <w:t>Ур</w:t>
      </w:r>
      <w:r w:rsidR="00366B62">
        <w:rPr>
          <w:sz w:val="28"/>
          <w:szCs w:val="28"/>
        </w:rPr>
        <w:t xml:space="preserve">аховуючи викладене та керуючись </w:t>
      </w:r>
      <w:hyperlink r:id="rId7" w:anchor="n4905" w:history="1">
        <w:r w:rsidRPr="00AA0009">
          <w:rPr>
            <w:sz w:val="28"/>
            <w:szCs w:val="28"/>
          </w:rPr>
          <w:t>статтями 147</w:t>
        </w:r>
      </w:hyperlink>
      <w:r w:rsidR="00366B62">
        <w:rPr>
          <w:sz w:val="28"/>
          <w:szCs w:val="28"/>
        </w:rPr>
        <w:t xml:space="preserve">, </w:t>
      </w:r>
      <w:hyperlink r:id="rId8" w:anchor="n5291" w:history="1">
        <w:r w:rsidRPr="008C3785">
          <w:rPr>
            <w:sz w:val="28"/>
            <w:szCs w:val="28"/>
          </w:rPr>
          <w:t>151</w:t>
        </w:r>
      </w:hyperlink>
      <w:hyperlink r:id="rId9" w:anchor="n5291" w:history="1">
        <w:r w:rsidRPr="008C3785">
          <w:rPr>
            <w:bCs/>
            <w:sz w:val="28"/>
            <w:szCs w:val="28"/>
            <w:vertAlign w:val="superscript"/>
          </w:rPr>
          <w:t>1</w:t>
        </w:r>
      </w:hyperlink>
      <w:r w:rsidR="00366B62">
        <w:rPr>
          <w:sz w:val="28"/>
          <w:szCs w:val="28"/>
        </w:rPr>
        <w:t xml:space="preserve">, </w:t>
      </w:r>
      <w:hyperlink r:id="rId10" w:anchor="n4930" w:history="1">
        <w:r w:rsidRPr="00AA0009">
          <w:rPr>
            <w:sz w:val="28"/>
            <w:szCs w:val="28"/>
          </w:rPr>
          <w:t>153</w:t>
        </w:r>
      </w:hyperlink>
      <w:r w:rsidR="00366B62">
        <w:rPr>
          <w:sz w:val="28"/>
          <w:szCs w:val="28"/>
        </w:rPr>
        <w:t xml:space="preserve"> </w:t>
      </w:r>
      <w:r w:rsidRPr="00AA0009">
        <w:rPr>
          <w:sz w:val="28"/>
          <w:szCs w:val="28"/>
        </w:rPr>
        <w:t>К</w:t>
      </w:r>
      <w:r w:rsidR="00366B62">
        <w:rPr>
          <w:sz w:val="28"/>
          <w:szCs w:val="28"/>
        </w:rPr>
        <w:t xml:space="preserve">онституції України, на підставі </w:t>
      </w:r>
      <w:hyperlink r:id="rId11" w:anchor="n26" w:history="1">
        <w:r w:rsidRPr="00AA0009">
          <w:rPr>
            <w:sz w:val="28"/>
            <w:szCs w:val="28"/>
          </w:rPr>
          <w:t>статей 7</w:t>
        </w:r>
      </w:hyperlink>
      <w:r w:rsidR="00366B62">
        <w:rPr>
          <w:sz w:val="28"/>
          <w:szCs w:val="28"/>
        </w:rPr>
        <w:t xml:space="preserve">, </w:t>
      </w:r>
      <w:hyperlink r:id="rId12" w:anchor="n187" w:history="1">
        <w:r w:rsidRPr="00AA0009">
          <w:rPr>
            <w:sz w:val="28"/>
            <w:szCs w:val="28"/>
          </w:rPr>
          <w:t>32</w:t>
        </w:r>
      </w:hyperlink>
      <w:r w:rsidR="00366B62">
        <w:rPr>
          <w:sz w:val="28"/>
          <w:szCs w:val="28"/>
        </w:rPr>
        <w:t xml:space="preserve">, </w:t>
      </w:r>
      <w:hyperlink r:id="rId13" w:anchor="n229" w:history="1">
        <w:r w:rsidRPr="00AA0009">
          <w:rPr>
            <w:sz w:val="28"/>
            <w:szCs w:val="28"/>
          </w:rPr>
          <w:t>36</w:t>
        </w:r>
      </w:hyperlink>
      <w:r w:rsidR="00366B62">
        <w:rPr>
          <w:sz w:val="28"/>
          <w:szCs w:val="28"/>
        </w:rPr>
        <w:t xml:space="preserve">, </w:t>
      </w:r>
      <w:hyperlink r:id="rId14" w:anchor="n386" w:history="1">
        <w:r w:rsidRPr="00AA0009">
          <w:rPr>
            <w:sz w:val="28"/>
            <w:szCs w:val="28"/>
          </w:rPr>
          <w:t>55</w:t>
        </w:r>
      </w:hyperlink>
      <w:r w:rsidR="00366B62">
        <w:rPr>
          <w:sz w:val="28"/>
          <w:szCs w:val="28"/>
        </w:rPr>
        <w:t xml:space="preserve">, </w:t>
      </w:r>
      <w:hyperlink r:id="rId15" w:anchor="n447" w:history="1">
        <w:r w:rsidRPr="00AA0009">
          <w:rPr>
            <w:sz w:val="28"/>
            <w:szCs w:val="28"/>
          </w:rPr>
          <w:t>62</w:t>
        </w:r>
      </w:hyperlink>
      <w:r w:rsidR="00366B62">
        <w:rPr>
          <w:sz w:val="28"/>
          <w:szCs w:val="28"/>
        </w:rPr>
        <w:t xml:space="preserve">, </w:t>
      </w:r>
      <w:hyperlink r:id="rId16" w:anchor="n455" w:history="1">
        <w:r w:rsidRPr="00AA0009">
          <w:rPr>
            <w:sz w:val="28"/>
            <w:szCs w:val="28"/>
          </w:rPr>
          <w:t>63</w:t>
        </w:r>
      </w:hyperlink>
      <w:r w:rsidR="00366B62">
        <w:rPr>
          <w:sz w:val="28"/>
          <w:szCs w:val="28"/>
        </w:rPr>
        <w:t xml:space="preserve">, </w:t>
      </w:r>
      <w:hyperlink r:id="rId17" w:anchor="n486" w:history="1">
        <w:r w:rsidRPr="00AA0009">
          <w:rPr>
            <w:sz w:val="28"/>
            <w:szCs w:val="28"/>
          </w:rPr>
          <w:t>67</w:t>
        </w:r>
      </w:hyperlink>
      <w:r w:rsidR="00366B62">
        <w:rPr>
          <w:sz w:val="28"/>
          <w:szCs w:val="28"/>
        </w:rPr>
        <w:t xml:space="preserve">, </w:t>
      </w:r>
      <w:hyperlink r:id="rId18" w:anchor="n556" w:history="1">
        <w:r w:rsidRPr="00AA0009">
          <w:rPr>
            <w:sz w:val="28"/>
            <w:szCs w:val="28"/>
          </w:rPr>
          <w:t>77</w:t>
        </w:r>
      </w:hyperlink>
      <w:r w:rsidR="00366B62">
        <w:rPr>
          <w:sz w:val="28"/>
          <w:szCs w:val="28"/>
        </w:rPr>
        <w:t xml:space="preserve">, </w:t>
      </w:r>
      <w:hyperlink r:id="rId19" w:anchor="n594" w:history="1">
        <w:r w:rsidRPr="00AA0009">
          <w:rPr>
            <w:sz w:val="28"/>
            <w:szCs w:val="28"/>
          </w:rPr>
          <w:t>86</w:t>
        </w:r>
      </w:hyperlink>
      <w:r w:rsidR="00366B62">
        <w:rPr>
          <w:sz w:val="28"/>
          <w:szCs w:val="28"/>
        </w:rPr>
        <w:t xml:space="preserve"> </w:t>
      </w:r>
      <w:r w:rsidRPr="00AA0009">
        <w:rPr>
          <w:sz w:val="28"/>
          <w:szCs w:val="28"/>
        </w:rPr>
        <w:t xml:space="preserve">Закону України „Про </w:t>
      </w:r>
      <w:r w:rsidRPr="00AA0009">
        <w:rPr>
          <w:sz w:val="28"/>
          <w:szCs w:val="28"/>
        </w:rPr>
        <w:lastRenderedPageBreak/>
        <w:t>Конституційни</w:t>
      </w:r>
      <w:r w:rsidR="00366B62">
        <w:rPr>
          <w:sz w:val="28"/>
          <w:szCs w:val="28"/>
        </w:rPr>
        <w:t xml:space="preserve">й Суд України“ та відповідно до </w:t>
      </w:r>
      <w:hyperlink r:id="rId20" w:anchor="n488" w:history="1">
        <w:r w:rsidRPr="00AA0009">
          <w:rPr>
            <w:sz w:val="28"/>
            <w:szCs w:val="28"/>
          </w:rPr>
          <w:t>§ 48</w:t>
        </w:r>
      </w:hyperlink>
      <w:r w:rsidR="00366B62">
        <w:rPr>
          <w:sz w:val="28"/>
          <w:szCs w:val="28"/>
        </w:rPr>
        <w:t xml:space="preserve">, </w:t>
      </w:r>
      <w:hyperlink r:id="rId21" w:anchor="n607" w:history="1">
        <w:r w:rsidRPr="00AA0009">
          <w:rPr>
            <w:sz w:val="28"/>
            <w:szCs w:val="28"/>
          </w:rPr>
          <w:t>§ 55</w:t>
        </w:r>
      </w:hyperlink>
      <w:r w:rsidR="00366B62">
        <w:rPr>
          <w:sz w:val="28"/>
          <w:szCs w:val="28"/>
        </w:rPr>
        <w:t xml:space="preserve"> </w:t>
      </w:r>
      <w:r w:rsidRPr="00AA0009">
        <w:rPr>
          <w:sz w:val="28"/>
          <w:szCs w:val="28"/>
        </w:rPr>
        <w:t>Регламенту Конституційного Суду України Перший сенат Конституційного Суду України</w:t>
      </w:r>
    </w:p>
    <w:p w:rsidR="007005E0" w:rsidRDefault="007005E0" w:rsidP="007005E0">
      <w:pPr>
        <w:shd w:val="clear" w:color="auto" w:fill="FFFFFF"/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</w:pPr>
      <w:bookmarkStart w:id="0" w:name="n23"/>
      <w:bookmarkEnd w:id="0"/>
    </w:p>
    <w:p w:rsidR="00AA0009" w:rsidRDefault="00AA0009" w:rsidP="007005E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</w:pPr>
      <w:r w:rsidRPr="00AA000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ухвалив:</w:t>
      </w:r>
    </w:p>
    <w:p w:rsidR="007005E0" w:rsidRPr="00AA0009" w:rsidRDefault="007005E0" w:rsidP="007005E0">
      <w:pPr>
        <w:shd w:val="clear" w:color="auto" w:fill="FFFFFF"/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0009" w:rsidRPr="009829F6" w:rsidRDefault="00AA0009" w:rsidP="009829F6">
      <w:pPr>
        <w:tabs>
          <w:tab w:val="left" w:pos="168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4"/>
      <w:bookmarkEnd w:id="1"/>
      <w:r w:rsidRPr="00AA00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Закрити конституційне провадження у справі за конституційною скаргою </w:t>
      </w:r>
      <w:proofErr w:type="spellStart"/>
      <w:r w:rsidRPr="000F1064">
        <w:rPr>
          <w:rFonts w:ascii="Times New Roman" w:hAnsi="Times New Roman" w:cs="Times New Roman"/>
          <w:sz w:val="28"/>
          <w:szCs w:val="28"/>
        </w:rPr>
        <w:t>Бородкіна</w:t>
      </w:r>
      <w:proofErr w:type="spellEnd"/>
      <w:r w:rsidRPr="000F1064">
        <w:rPr>
          <w:rFonts w:ascii="Times New Roman" w:hAnsi="Times New Roman" w:cs="Times New Roman"/>
          <w:sz w:val="28"/>
          <w:szCs w:val="28"/>
        </w:rPr>
        <w:t xml:space="preserve"> Михайла Володимировича щодо відповідності Конституції України (конституційності) положення абзацу другого частини першої статті 9 Закону України „Про Державне бюро розслідувань“</w:t>
      </w:r>
      <w:r w:rsidR="00FC3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29F6">
        <w:rPr>
          <w:rFonts w:ascii="Times New Roman" w:hAnsi="Times New Roman" w:cs="Times New Roman"/>
          <w:sz w:val="28"/>
          <w:szCs w:val="28"/>
        </w:rPr>
        <w:t xml:space="preserve">від 12 листопада 2015 року </w:t>
      </w:r>
      <w:r w:rsidR="009829F6">
        <w:rPr>
          <w:rFonts w:ascii="Times New Roman" w:hAnsi="Times New Roman" w:cs="Times New Roman"/>
          <w:sz w:val="28"/>
          <w:szCs w:val="28"/>
        </w:rPr>
        <w:br/>
        <w:t>№  794–</w:t>
      </w:r>
      <w:r w:rsidR="009829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29F6">
        <w:rPr>
          <w:rFonts w:ascii="Times New Roman" w:hAnsi="Times New Roman" w:cs="Times New Roman"/>
          <w:sz w:val="28"/>
          <w:szCs w:val="28"/>
        </w:rPr>
        <w:t xml:space="preserve">ІІІ зі змінами </w:t>
      </w:r>
      <w:r w:rsidR="00FC3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пункту </w:t>
      </w:r>
      <w:hyperlink r:id="rId22" w:anchor="n452" w:history="1">
        <w:r w:rsidRPr="00AA000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4</w:t>
        </w:r>
      </w:hyperlink>
      <w:r w:rsidR="00FC3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00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62 Закону України „Про Конституційний Суд України“ </w:t>
      </w:r>
      <w:r w:rsidR="00962E7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3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000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неприйнятність конституційної скарги.</w:t>
      </w:r>
    </w:p>
    <w:p w:rsidR="007005E0" w:rsidRPr="00AA0009" w:rsidRDefault="007005E0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0009" w:rsidRDefault="00AA0009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25"/>
      <w:bookmarkEnd w:id="2"/>
      <w:r w:rsidRPr="00AA0009">
        <w:rPr>
          <w:rFonts w:ascii="Times New Roman" w:eastAsia="Times New Roman" w:hAnsi="Times New Roman" w:cs="Times New Roman"/>
          <w:sz w:val="28"/>
          <w:szCs w:val="28"/>
          <w:lang w:eastAsia="uk-UA"/>
        </w:rPr>
        <w:t>2. Ухвала Першого сенату Конституційного Суду України є остаточною.</w:t>
      </w:r>
    </w:p>
    <w:p w:rsidR="008358F1" w:rsidRDefault="008358F1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8F1" w:rsidRDefault="008358F1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8F1" w:rsidRDefault="008358F1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_GoBack"/>
      <w:bookmarkEnd w:id="3"/>
    </w:p>
    <w:p w:rsidR="008358F1" w:rsidRDefault="008358F1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8F1" w:rsidRPr="00B90EFD" w:rsidRDefault="008358F1" w:rsidP="008358F1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перший</w:t>
      </w:r>
      <w:r w:rsidRPr="00B90EFD">
        <w:rPr>
          <w:rFonts w:ascii="Times New Roman" w:hAnsi="Times New Roman" w:cs="Times New Roman"/>
          <w:b/>
          <w:caps/>
          <w:sz w:val="28"/>
          <w:szCs w:val="28"/>
        </w:rPr>
        <w:t xml:space="preserve"> сенат</w:t>
      </w:r>
    </w:p>
    <w:p w:rsidR="008358F1" w:rsidRPr="00B90EFD" w:rsidRDefault="008358F1" w:rsidP="008358F1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EF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8358F1" w:rsidRDefault="008358F1" w:rsidP="007005E0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3BC0" w:rsidRDefault="00FC3BC0" w:rsidP="00FC3BC0">
      <w:pPr>
        <w:pStyle w:val="a3"/>
        <w:ind w:left="709"/>
        <w:jc w:val="both"/>
        <w:rPr>
          <w:sz w:val="28"/>
          <w:szCs w:val="28"/>
        </w:rPr>
      </w:pPr>
    </w:p>
    <w:p w:rsidR="00FC3BC0" w:rsidRDefault="00FC3BC0" w:rsidP="00AA0009">
      <w:pPr>
        <w:shd w:val="clear" w:color="auto" w:fill="FFFFFF"/>
        <w:spacing w:after="30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FC3BC0" w:rsidSect="007005E0">
      <w:headerReference w:type="default" r:id="rId23"/>
      <w:footerReference w:type="default" r:id="rId24"/>
      <w:footerReference w:type="firs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AE" w:rsidRDefault="00447BAE" w:rsidP="00F62234">
      <w:pPr>
        <w:spacing w:after="0" w:line="240" w:lineRule="auto"/>
      </w:pPr>
      <w:r>
        <w:separator/>
      </w:r>
    </w:p>
  </w:endnote>
  <w:endnote w:type="continuationSeparator" w:id="0">
    <w:p w:rsidR="00447BAE" w:rsidRDefault="00447BAE" w:rsidP="00F6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34" w:rsidRPr="004D46B6" w:rsidRDefault="004D46B6">
    <w:pPr>
      <w:pStyle w:val="a7"/>
      <w:rPr>
        <w:rFonts w:ascii="Times New Roman" w:hAnsi="Times New Roman" w:cs="Times New Roman"/>
        <w:sz w:val="10"/>
        <w:szCs w:val="10"/>
      </w:rPr>
    </w:pPr>
    <w:r w:rsidRPr="004D46B6">
      <w:rPr>
        <w:rFonts w:ascii="Times New Roman" w:hAnsi="Times New Roman" w:cs="Times New Roman"/>
        <w:sz w:val="10"/>
        <w:szCs w:val="10"/>
      </w:rPr>
      <w:fldChar w:fldCharType="begin"/>
    </w:r>
    <w:r w:rsidRPr="004D46B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D46B6">
      <w:rPr>
        <w:rFonts w:ascii="Times New Roman" w:hAnsi="Times New Roman" w:cs="Times New Roman"/>
        <w:sz w:val="10"/>
        <w:szCs w:val="10"/>
      </w:rPr>
      <w:fldChar w:fldCharType="separate"/>
    </w:r>
    <w:r w:rsidR="008358F1">
      <w:rPr>
        <w:rFonts w:ascii="Times New Roman" w:hAnsi="Times New Roman" w:cs="Times New Roman"/>
        <w:noProof/>
        <w:sz w:val="10"/>
        <w:szCs w:val="10"/>
      </w:rPr>
      <w:t>G:\2023\Suddi\Uhvala senata\I senat\36.docx</w:t>
    </w:r>
    <w:r w:rsidRPr="004D46B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E0" w:rsidRPr="007005E0" w:rsidRDefault="007005E0">
    <w:pPr>
      <w:pStyle w:val="a7"/>
      <w:rPr>
        <w:rFonts w:ascii="Times New Roman" w:hAnsi="Times New Roman" w:cs="Times New Roman"/>
        <w:sz w:val="10"/>
        <w:szCs w:val="10"/>
      </w:rPr>
    </w:pPr>
    <w:r w:rsidRPr="007005E0">
      <w:rPr>
        <w:rFonts w:ascii="Times New Roman" w:hAnsi="Times New Roman" w:cs="Times New Roman"/>
        <w:sz w:val="10"/>
        <w:szCs w:val="10"/>
      </w:rPr>
      <w:fldChar w:fldCharType="begin"/>
    </w:r>
    <w:r w:rsidRPr="007005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005E0">
      <w:rPr>
        <w:rFonts w:ascii="Times New Roman" w:hAnsi="Times New Roman" w:cs="Times New Roman"/>
        <w:sz w:val="10"/>
        <w:szCs w:val="10"/>
      </w:rPr>
      <w:fldChar w:fldCharType="separate"/>
    </w:r>
    <w:r w:rsidR="008358F1">
      <w:rPr>
        <w:rFonts w:ascii="Times New Roman" w:hAnsi="Times New Roman" w:cs="Times New Roman"/>
        <w:noProof/>
        <w:sz w:val="10"/>
        <w:szCs w:val="10"/>
      </w:rPr>
      <w:t>G:\2023\Suddi\Uhvala senata\I senat\36.docx</w:t>
    </w:r>
    <w:r w:rsidRPr="007005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AE" w:rsidRDefault="00447BAE" w:rsidP="00F62234">
      <w:pPr>
        <w:spacing w:after="0" w:line="240" w:lineRule="auto"/>
      </w:pPr>
      <w:r>
        <w:separator/>
      </w:r>
    </w:p>
  </w:footnote>
  <w:footnote w:type="continuationSeparator" w:id="0">
    <w:p w:rsidR="00447BAE" w:rsidRDefault="00447BAE" w:rsidP="00F6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634404926"/>
      <w:docPartObj>
        <w:docPartGallery w:val="Page Numbers (Top of Page)"/>
        <w:docPartUnique/>
      </w:docPartObj>
    </w:sdtPr>
    <w:sdtEndPr/>
    <w:sdtContent>
      <w:p w:rsidR="007005E0" w:rsidRPr="007005E0" w:rsidRDefault="007005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0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05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0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F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00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F9A"/>
    <w:multiLevelType w:val="multilevel"/>
    <w:tmpl w:val="38EE7B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512711CD"/>
    <w:multiLevelType w:val="multilevel"/>
    <w:tmpl w:val="AE4AD2E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9141FB4"/>
    <w:multiLevelType w:val="multilevel"/>
    <w:tmpl w:val="B5588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DE"/>
    <w:rsid w:val="00003372"/>
    <w:rsid w:val="000348B9"/>
    <w:rsid w:val="00041647"/>
    <w:rsid w:val="0005604E"/>
    <w:rsid w:val="000865E8"/>
    <w:rsid w:val="000D2577"/>
    <w:rsid w:val="000F1064"/>
    <w:rsid w:val="00122F08"/>
    <w:rsid w:val="00157CC7"/>
    <w:rsid w:val="00184953"/>
    <w:rsid w:val="001A61D3"/>
    <w:rsid w:val="001A7786"/>
    <w:rsid w:val="001C0443"/>
    <w:rsid w:val="001E03D5"/>
    <w:rsid w:val="002451D4"/>
    <w:rsid w:val="0026750D"/>
    <w:rsid w:val="00303EB9"/>
    <w:rsid w:val="00320BB7"/>
    <w:rsid w:val="003371D7"/>
    <w:rsid w:val="00355918"/>
    <w:rsid w:val="00366B62"/>
    <w:rsid w:val="00385296"/>
    <w:rsid w:val="003A0454"/>
    <w:rsid w:val="003B1995"/>
    <w:rsid w:val="003B1B41"/>
    <w:rsid w:val="00411CB0"/>
    <w:rsid w:val="00411F8C"/>
    <w:rsid w:val="004466C3"/>
    <w:rsid w:val="00447BAE"/>
    <w:rsid w:val="004A7892"/>
    <w:rsid w:val="004D46B6"/>
    <w:rsid w:val="005314B2"/>
    <w:rsid w:val="00565586"/>
    <w:rsid w:val="00580CDE"/>
    <w:rsid w:val="00626921"/>
    <w:rsid w:val="007005E0"/>
    <w:rsid w:val="00706F04"/>
    <w:rsid w:val="00736309"/>
    <w:rsid w:val="00772977"/>
    <w:rsid w:val="007B31A5"/>
    <w:rsid w:val="007C6B63"/>
    <w:rsid w:val="00816050"/>
    <w:rsid w:val="008358F1"/>
    <w:rsid w:val="00882761"/>
    <w:rsid w:val="0089282E"/>
    <w:rsid w:val="008C2247"/>
    <w:rsid w:val="008C3645"/>
    <w:rsid w:val="008C3785"/>
    <w:rsid w:val="009115E5"/>
    <w:rsid w:val="00962E72"/>
    <w:rsid w:val="009829F6"/>
    <w:rsid w:val="009C1C05"/>
    <w:rsid w:val="00A10747"/>
    <w:rsid w:val="00A11FDC"/>
    <w:rsid w:val="00A56142"/>
    <w:rsid w:val="00A86A53"/>
    <w:rsid w:val="00AA0009"/>
    <w:rsid w:val="00AA553D"/>
    <w:rsid w:val="00AB49C2"/>
    <w:rsid w:val="00B108DB"/>
    <w:rsid w:val="00C364DC"/>
    <w:rsid w:val="00C53845"/>
    <w:rsid w:val="00CA120E"/>
    <w:rsid w:val="00CB4C01"/>
    <w:rsid w:val="00D35FC1"/>
    <w:rsid w:val="00D70E1A"/>
    <w:rsid w:val="00E251B9"/>
    <w:rsid w:val="00E65C38"/>
    <w:rsid w:val="00E75C3F"/>
    <w:rsid w:val="00EA56C5"/>
    <w:rsid w:val="00EF675A"/>
    <w:rsid w:val="00F302CB"/>
    <w:rsid w:val="00F53345"/>
    <w:rsid w:val="00F62234"/>
    <w:rsid w:val="00F75007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6407"/>
  <w15:chartTrackingRefBased/>
  <w15:docId w15:val="{310F7F47-E367-448A-887B-8082CB52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63"/>
  </w:style>
  <w:style w:type="paragraph" w:styleId="1">
    <w:name w:val="heading 1"/>
    <w:basedOn w:val="a"/>
    <w:next w:val="a"/>
    <w:link w:val="10"/>
    <w:qFormat/>
    <w:rsid w:val="007005E0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64"/>
    <w:pPr>
      <w:ind w:left="720"/>
      <w:contextualSpacing/>
    </w:pPr>
  </w:style>
  <w:style w:type="paragraph" w:styleId="a4">
    <w:name w:val="No Spacing"/>
    <w:uiPriority w:val="1"/>
    <w:qFormat/>
    <w:rsid w:val="001A61D3"/>
    <w:pPr>
      <w:spacing w:after="0" w:line="240" w:lineRule="auto"/>
    </w:pPr>
  </w:style>
  <w:style w:type="paragraph" w:styleId="a5">
    <w:name w:val="header"/>
    <w:basedOn w:val="a"/>
    <w:link w:val="a6"/>
    <w:unhideWhenUsed/>
    <w:rsid w:val="00F6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F62234"/>
  </w:style>
  <w:style w:type="paragraph" w:styleId="a7">
    <w:name w:val="footer"/>
    <w:basedOn w:val="a"/>
    <w:link w:val="a8"/>
    <w:uiPriority w:val="99"/>
    <w:unhideWhenUsed/>
    <w:rsid w:val="00F6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62234"/>
  </w:style>
  <w:style w:type="paragraph" w:customStyle="1" w:styleId="rvps2">
    <w:name w:val="rvps2"/>
    <w:basedOn w:val="a"/>
    <w:rsid w:val="00AA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A0009"/>
    <w:rPr>
      <w:color w:val="0000FF"/>
      <w:u w:val="single"/>
    </w:rPr>
  </w:style>
  <w:style w:type="paragraph" w:customStyle="1" w:styleId="rvps12">
    <w:name w:val="rvps12"/>
    <w:basedOn w:val="a"/>
    <w:rsid w:val="00AA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A0009"/>
  </w:style>
  <w:style w:type="character" w:customStyle="1" w:styleId="rvts9">
    <w:name w:val="rvts9"/>
    <w:basedOn w:val="a0"/>
    <w:rsid w:val="00AA0009"/>
  </w:style>
  <w:style w:type="paragraph" w:styleId="aa">
    <w:name w:val="Balloon Text"/>
    <w:basedOn w:val="a"/>
    <w:link w:val="ab"/>
    <w:uiPriority w:val="99"/>
    <w:semiHidden/>
    <w:unhideWhenUsed/>
    <w:rsid w:val="00D7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E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5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170036___592621" TargetMode="External"/><Relationship Id="rId13" Type="http://schemas.openxmlformats.org/officeDocument/2006/relationships/hyperlink" Target="https://zakononline.com.ua/documents/show/378291___710744" TargetMode="External"/><Relationship Id="rId18" Type="http://schemas.openxmlformats.org/officeDocument/2006/relationships/hyperlink" Target="https://zakononline.com.ua/documents/show/378291___71074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online.com.ua/documents/show/374654___480753" TargetMode="External"/><Relationship Id="rId7" Type="http://schemas.openxmlformats.org/officeDocument/2006/relationships/hyperlink" Target="https://zakononline.com.ua/documents/show/170036___592621" TargetMode="External"/><Relationship Id="rId12" Type="http://schemas.openxmlformats.org/officeDocument/2006/relationships/hyperlink" Target="https://zakononline.com.ua/documents/show/378291___710744" TargetMode="External"/><Relationship Id="rId17" Type="http://schemas.openxmlformats.org/officeDocument/2006/relationships/hyperlink" Target="https://zakononline.com.ua/documents/show/378291___71074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zakononline.com.ua/documents/show/378291___710744" TargetMode="External"/><Relationship Id="rId20" Type="http://schemas.openxmlformats.org/officeDocument/2006/relationships/hyperlink" Target="https://zakononline.com.ua/documents/show/374654___4807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online.com.ua/documents/show/378291___71074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zakononline.com.ua/documents/show/378291___71074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online.com.ua/documents/show/170036___592621" TargetMode="External"/><Relationship Id="rId19" Type="http://schemas.openxmlformats.org/officeDocument/2006/relationships/hyperlink" Target="https://zakononline.com.ua/documents/show/378291___710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170036___592621" TargetMode="External"/><Relationship Id="rId14" Type="http://schemas.openxmlformats.org/officeDocument/2006/relationships/hyperlink" Target="https://zakononline.com.ua/documents/show/378291___710744" TargetMode="External"/><Relationship Id="rId22" Type="http://schemas.openxmlformats.org/officeDocument/2006/relationships/hyperlink" Target="https://zakononline.com.ua/documents/show/378291___7107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4733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9</cp:revision>
  <cp:lastPrinted>2023-07-27T07:02:00Z</cp:lastPrinted>
  <dcterms:created xsi:type="dcterms:W3CDTF">2023-07-26T09:17:00Z</dcterms:created>
  <dcterms:modified xsi:type="dcterms:W3CDTF">2023-07-27T07:02:00Z</dcterms:modified>
</cp:coreProperties>
</file>