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9D0" w:rsidRPr="009069D0" w:rsidRDefault="009069D0" w:rsidP="009069D0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069D0" w:rsidRPr="009069D0" w:rsidRDefault="009069D0" w:rsidP="009069D0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069D0" w:rsidRPr="009069D0" w:rsidRDefault="009069D0" w:rsidP="009069D0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069D0" w:rsidRPr="009069D0" w:rsidRDefault="009069D0" w:rsidP="009069D0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069D0" w:rsidRPr="009069D0" w:rsidRDefault="009069D0" w:rsidP="009069D0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069D0" w:rsidRPr="009069D0" w:rsidRDefault="009069D0" w:rsidP="009069D0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069D0" w:rsidRPr="009069D0" w:rsidRDefault="009069D0" w:rsidP="009069D0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069D0" w:rsidRPr="009069D0" w:rsidRDefault="009069D0" w:rsidP="009069D0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069D0" w:rsidRPr="009069D0" w:rsidRDefault="009069D0" w:rsidP="009069D0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069D0" w:rsidRPr="009069D0" w:rsidRDefault="009069D0" w:rsidP="009069D0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9E3EF3" w:rsidRDefault="00B06939" w:rsidP="009069D0">
      <w:pPr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069D0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відмову у відкритті </w:t>
      </w:r>
      <w:r w:rsidR="00BB79C5" w:rsidRPr="009069D0">
        <w:rPr>
          <w:rFonts w:ascii="Times New Roman" w:hAnsi="Times New Roman"/>
          <w:b/>
          <w:sz w:val="28"/>
          <w:szCs w:val="28"/>
        </w:rPr>
        <w:t>конст</w:t>
      </w:r>
      <w:r w:rsidR="008A0D72" w:rsidRPr="009069D0">
        <w:rPr>
          <w:rFonts w:ascii="Times New Roman" w:hAnsi="Times New Roman"/>
          <w:b/>
          <w:sz w:val="28"/>
          <w:szCs w:val="28"/>
        </w:rPr>
        <w:t xml:space="preserve">итуційного провадження </w:t>
      </w:r>
      <w:r w:rsidR="00A75D7B" w:rsidRPr="009069D0">
        <w:rPr>
          <w:rFonts w:ascii="Times New Roman" w:hAnsi="Times New Roman"/>
          <w:b/>
          <w:sz w:val="28"/>
          <w:szCs w:val="28"/>
        </w:rPr>
        <w:br/>
      </w:r>
      <w:r w:rsidR="008A0D72" w:rsidRPr="009069D0">
        <w:rPr>
          <w:rFonts w:ascii="Times New Roman" w:hAnsi="Times New Roman"/>
          <w:b/>
          <w:sz w:val="28"/>
          <w:szCs w:val="28"/>
        </w:rPr>
        <w:t>у справі</w:t>
      </w:r>
      <w:r w:rsidRPr="009069D0">
        <w:rPr>
          <w:rFonts w:ascii="Times New Roman" w:hAnsi="Times New Roman"/>
          <w:b/>
          <w:sz w:val="28"/>
          <w:szCs w:val="28"/>
        </w:rPr>
        <w:t xml:space="preserve"> </w:t>
      </w:r>
      <w:r w:rsidR="00BB79C5" w:rsidRPr="009069D0">
        <w:rPr>
          <w:rFonts w:ascii="Times New Roman" w:hAnsi="Times New Roman"/>
          <w:b/>
          <w:sz w:val="28"/>
          <w:szCs w:val="28"/>
        </w:rPr>
        <w:t xml:space="preserve">за </w:t>
      </w:r>
      <w:r w:rsidR="00BB79C5" w:rsidRPr="009069D0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92110A" w:rsidRPr="009069D0">
        <w:rPr>
          <w:rFonts w:ascii="Times New Roman" w:hAnsi="Times New Roman"/>
          <w:b/>
          <w:color w:val="auto"/>
          <w:sz w:val="28"/>
          <w:szCs w:val="28"/>
        </w:rPr>
        <w:t>Ніколаєнка Івана Михайловича</w:t>
      </w:r>
      <w:r w:rsidR="00FB39A9" w:rsidRPr="009069D0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92110A" w:rsidRPr="009069D0">
        <w:rPr>
          <w:rFonts w:ascii="Times New Roman" w:hAnsi="Times New Roman"/>
          <w:b/>
          <w:color w:val="auto"/>
          <w:sz w:val="28"/>
          <w:szCs w:val="28"/>
        </w:rPr>
        <w:t>частини третьої статті 59 Закону України „Про статус і соціальний захист громадян, які постраждали внаслідок Чорнобильської катастрофи“, статей</w:t>
      </w:r>
      <w:r w:rsidR="009069D0" w:rsidRPr="009069D0">
        <w:rPr>
          <w:rFonts w:ascii="Times New Roman" w:hAnsi="Times New Roman"/>
          <w:b/>
          <w:color w:val="auto"/>
          <w:sz w:val="28"/>
          <w:szCs w:val="28"/>
        </w:rPr>
        <w:t xml:space="preserve"> 11, 21</w:t>
      </w:r>
      <w:r w:rsidR="009069D0" w:rsidRPr="009069D0">
        <w:rPr>
          <w:rFonts w:ascii="Times New Roman" w:hAnsi="Times New Roman"/>
          <w:b/>
          <w:color w:val="auto"/>
          <w:sz w:val="28"/>
          <w:szCs w:val="28"/>
        </w:rPr>
        <w:br/>
      </w:r>
      <w:r w:rsidR="0092110A" w:rsidRPr="009069D0">
        <w:rPr>
          <w:rFonts w:ascii="Times New Roman" w:hAnsi="Times New Roman"/>
          <w:b/>
          <w:color w:val="auto"/>
          <w:sz w:val="28"/>
          <w:szCs w:val="28"/>
        </w:rPr>
        <w:t xml:space="preserve">Закону України „Про пенсійне забезпечення осіб, звільнених </w:t>
      </w:r>
      <w:r w:rsidR="009069D0" w:rsidRPr="009069D0">
        <w:rPr>
          <w:rFonts w:ascii="Times New Roman" w:hAnsi="Times New Roman"/>
          <w:b/>
          <w:color w:val="auto"/>
          <w:sz w:val="28"/>
          <w:szCs w:val="28"/>
        </w:rPr>
        <w:br/>
      </w:r>
      <w:r w:rsidR="009069D0" w:rsidRPr="009069D0">
        <w:rPr>
          <w:rFonts w:ascii="Times New Roman" w:hAnsi="Times New Roman"/>
          <w:b/>
          <w:color w:val="auto"/>
          <w:sz w:val="28"/>
          <w:szCs w:val="28"/>
        </w:rPr>
        <w:tab/>
      </w:r>
      <w:r w:rsidR="009069D0" w:rsidRPr="009069D0">
        <w:rPr>
          <w:rFonts w:ascii="Times New Roman" w:hAnsi="Times New Roman"/>
          <w:b/>
          <w:color w:val="auto"/>
          <w:sz w:val="28"/>
          <w:szCs w:val="28"/>
        </w:rPr>
        <w:tab/>
      </w:r>
      <w:r w:rsidR="0092110A" w:rsidRPr="009069D0">
        <w:rPr>
          <w:rFonts w:ascii="Times New Roman" w:hAnsi="Times New Roman"/>
          <w:b/>
          <w:color w:val="auto"/>
          <w:sz w:val="28"/>
          <w:szCs w:val="28"/>
        </w:rPr>
        <w:t>з військової служби, та деяких інших осіб“</w:t>
      </w:r>
    </w:p>
    <w:p w:rsidR="00B21C5B" w:rsidRPr="009069D0" w:rsidRDefault="00B21C5B" w:rsidP="009069D0">
      <w:pPr>
        <w:jc w:val="both"/>
        <w:rPr>
          <w:rFonts w:ascii="Times New Roman" w:hAnsi="Times New Roman"/>
          <w:b/>
          <w:iCs/>
          <w:color w:val="auto"/>
          <w:sz w:val="28"/>
          <w:szCs w:val="28"/>
        </w:rPr>
      </w:pPr>
    </w:p>
    <w:p w:rsidR="00BB79C5" w:rsidRPr="009069D0" w:rsidRDefault="00D256E6" w:rsidP="009069D0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069D0">
        <w:rPr>
          <w:rFonts w:ascii="Times New Roman" w:hAnsi="Times New Roman"/>
          <w:color w:val="auto"/>
          <w:sz w:val="28"/>
          <w:szCs w:val="28"/>
        </w:rPr>
        <w:t>м. К и ї в</w:t>
      </w:r>
      <w:r w:rsidRPr="009069D0">
        <w:rPr>
          <w:rFonts w:ascii="Times New Roman" w:hAnsi="Times New Roman"/>
          <w:color w:val="auto"/>
          <w:sz w:val="28"/>
          <w:szCs w:val="28"/>
        </w:rPr>
        <w:tab/>
      </w:r>
      <w:r w:rsidRPr="009069D0">
        <w:rPr>
          <w:rFonts w:ascii="Times New Roman" w:hAnsi="Times New Roman"/>
          <w:color w:val="auto"/>
          <w:sz w:val="28"/>
          <w:szCs w:val="28"/>
        </w:rPr>
        <w:tab/>
      </w:r>
      <w:r w:rsidRPr="009069D0">
        <w:rPr>
          <w:rFonts w:ascii="Times New Roman" w:hAnsi="Times New Roman"/>
          <w:color w:val="auto"/>
          <w:sz w:val="28"/>
          <w:szCs w:val="28"/>
        </w:rPr>
        <w:tab/>
      </w:r>
      <w:r w:rsidRPr="009069D0">
        <w:rPr>
          <w:rFonts w:ascii="Times New Roman" w:hAnsi="Times New Roman"/>
          <w:color w:val="auto"/>
          <w:sz w:val="28"/>
          <w:szCs w:val="28"/>
        </w:rPr>
        <w:tab/>
      </w:r>
      <w:r w:rsidRPr="009069D0">
        <w:rPr>
          <w:rFonts w:ascii="Times New Roman" w:hAnsi="Times New Roman"/>
          <w:color w:val="auto"/>
          <w:sz w:val="28"/>
          <w:szCs w:val="28"/>
        </w:rPr>
        <w:tab/>
      </w:r>
      <w:r w:rsidRPr="009069D0">
        <w:rPr>
          <w:rFonts w:ascii="Times New Roman" w:hAnsi="Times New Roman"/>
          <w:color w:val="auto"/>
          <w:sz w:val="28"/>
          <w:szCs w:val="28"/>
        </w:rPr>
        <w:tab/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069D0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B21C5B" w:rsidRPr="009069D0">
        <w:rPr>
          <w:rFonts w:ascii="Times New Roman" w:hAnsi="Times New Roman"/>
          <w:color w:val="auto"/>
          <w:sz w:val="28"/>
          <w:szCs w:val="28"/>
        </w:rPr>
        <w:t>3-</w:t>
      </w:r>
      <w:r w:rsidR="00047C87" w:rsidRPr="009069D0">
        <w:rPr>
          <w:rFonts w:ascii="Times New Roman" w:hAnsi="Times New Roman"/>
          <w:color w:val="auto"/>
          <w:sz w:val="28"/>
          <w:szCs w:val="28"/>
        </w:rPr>
        <w:t>151</w:t>
      </w:r>
      <w:r w:rsidR="00FB39A9" w:rsidRPr="009069D0">
        <w:rPr>
          <w:rFonts w:ascii="Times New Roman" w:hAnsi="Times New Roman"/>
          <w:color w:val="auto"/>
          <w:sz w:val="28"/>
          <w:szCs w:val="28"/>
        </w:rPr>
        <w:t>/20</w:t>
      </w:r>
      <w:r w:rsidR="0004757A" w:rsidRPr="009069D0">
        <w:rPr>
          <w:rFonts w:ascii="Times New Roman" w:hAnsi="Times New Roman"/>
          <w:color w:val="auto"/>
          <w:sz w:val="28"/>
          <w:szCs w:val="28"/>
        </w:rPr>
        <w:t>2</w:t>
      </w:r>
      <w:r w:rsidR="00047C87" w:rsidRPr="009069D0">
        <w:rPr>
          <w:rFonts w:ascii="Times New Roman" w:hAnsi="Times New Roman"/>
          <w:color w:val="auto"/>
          <w:sz w:val="28"/>
          <w:szCs w:val="28"/>
        </w:rPr>
        <w:t>1</w:t>
      </w:r>
      <w:r w:rsidR="00FB39A9" w:rsidRPr="009069D0">
        <w:rPr>
          <w:rFonts w:ascii="Times New Roman" w:hAnsi="Times New Roman"/>
          <w:color w:val="auto"/>
          <w:sz w:val="28"/>
          <w:szCs w:val="28"/>
        </w:rPr>
        <w:t>(</w:t>
      </w:r>
      <w:r w:rsidR="00047C87" w:rsidRPr="009069D0">
        <w:rPr>
          <w:rFonts w:ascii="Times New Roman" w:hAnsi="Times New Roman"/>
          <w:color w:val="auto"/>
          <w:sz w:val="28"/>
          <w:szCs w:val="28"/>
        </w:rPr>
        <w:t>323</w:t>
      </w:r>
      <w:r w:rsidR="0004757A" w:rsidRPr="009069D0">
        <w:rPr>
          <w:rFonts w:ascii="Times New Roman" w:hAnsi="Times New Roman"/>
          <w:color w:val="auto"/>
          <w:sz w:val="28"/>
          <w:szCs w:val="28"/>
        </w:rPr>
        <w:t>/2</w:t>
      </w:r>
      <w:r w:rsidR="00047C87" w:rsidRPr="009069D0">
        <w:rPr>
          <w:rFonts w:ascii="Times New Roman" w:hAnsi="Times New Roman"/>
          <w:color w:val="auto"/>
          <w:sz w:val="28"/>
          <w:szCs w:val="28"/>
        </w:rPr>
        <w:t>1</w:t>
      </w:r>
      <w:r w:rsidR="00D034EA" w:rsidRPr="009069D0">
        <w:rPr>
          <w:rFonts w:ascii="Times New Roman" w:hAnsi="Times New Roman"/>
          <w:color w:val="auto"/>
          <w:sz w:val="28"/>
          <w:szCs w:val="28"/>
        </w:rPr>
        <w:t>)</w:t>
      </w:r>
    </w:p>
    <w:p w:rsidR="00BB79C5" w:rsidRPr="009069D0" w:rsidRDefault="000C0135" w:rsidP="009069D0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t>16</w:t>
      </w:r>
      <w:r w:rsidR="00047C87" w:rsidRPr="009069D0">
        <w:rPr>
          <w:rFonts w:ascii="Times New Roman" w:hAnsi="Times New Roman"/>
          <w:sz w:val="28"/>
          <w:szCs w:val="28"/>
        </w:rPr>
        <w:t xml:space="preserve"> верес</w:t>
      </w:r>
      <w:r w:rsidR="0004757A" w:rsidRPr="009069D0">
        <w:rPr>
          <w:rFonts w:ascii="Times New Roman" w:hAnsi="Times New Roman"/>
          <w:sz w:val="28"/>
          <w:szCs w:val="28"/>
        </w:rPr>
        <w:t>ня</w:t>
      </w:r>
      <w:r w:rsidR="00BB79C5" w:rsidRPr="009069D0">
        <w:rPr>
          <w:rFonts w:ascii="Times New Roman" w:hAnsi="Times New Roman"/>
          <w:sz w:val="28"/>
          <w:szCs w:val="28"/>
        </w:rPr>
        <w:t xml:space="preserve"> 20</w:t>
      </w:r>
      <w:r w:rsidR="00B21C5B" w:rsidRPr="009069D0">
        <w:rPr>
          <w:rFonts w:ascii="Times New Roman" w:hAnsi="Times New Roman"/>
          <w:sz w:val="28"/>
          <w:szCs w:val="28"/>
        </w:rPr>
        <w:t>2</w:t>
      </w:r>
      <w:r w:rsidR="00047C87" w:rsidRPr="009069D0">
        <w:rPr>
          <w:rFonts w:ascii="Times New Roman" w:hAnsi="Times New Roman"/>
          <w:sz w:val="28"/>
          <w:szCs w:val="28"/>
        </w:rPr>
        <w:t>1</w:t>
      </w:r>
      <w:r w:rsidR="00BB79C5" w:rsidRPr="009069D0">
        <w:rPr>
          <w:rFonts w:ascii="Times New Roman" w:hAnsi="Times New Roman"/>
          <w:sz w:val="28"/>
          <w:szCs w:val="28"/>
        </w:rPr>
        <w:t xml:space="preserve"> року</w:t>
      </w:r>
    </w:p>
    <w:p w:rsidR="009E3EF3" w:rsidRDefault="009E3EF3" w:rsidP="009069D0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0C0135" w:rsidRPr="009069D0">
        <w:rPr>
          <w:rFonts w:ascii="Times New Roman" w:hAnsi="Times New Roman"/>
          <w:color w:val="auto"/>
          <w:sz w:val="28"/>
          <w:szCs w:val="28"/>
        </w:rPr>
        <w:t>132</w:t>
      </w:r>
      <w:r w:rsidR="00AA02FE" w:rsidRPr="009069D0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791286" w:rsidRPr="009069D0">
        <w:rPr>
          <w:rFonts w:ascii="Times New Roman" w:hAnsi="Times New Roman"/>
          <w:color w:val="auto"/>
          <w:sz w:val="28"/>
          <w:szCs w:val="28"/>
        </w:rPr>
        <w:t>/20</w:t>
      </w:r>
      <w:r w:rsidR="00B21C5B" w:rsidRPr="009069D0">
        <w:rPr>
          <w:rFonts w:ascii="Times New Roman" w:hAnsi="Times New Roman"/>
          <w:color w:val="auto"/>
          <w:sz w:val="28"/>
          <w:szCs w:val="28"/>
        </w:rPr>
        <w:t>2</w:t>
      </w:r>
      <w:r w:rsidR="00047C87" w:rsidRPr="009069D0">
        <w:rPr>
          <w:rFonts w:ascii="Times New Roman" w:hAnsi="Times New Roman"/>
          <w:color w:val="auto"/>
          <w:sz w:val="28"/>
          <w:szCs w:val="28"/>
        </w:rPr>
        <w:t>1</w:t>
      </w:r>
    </w:p>
    <w:p w:rsidR="009657BF" w:rsidRPr="009069D0" w:rsidRDefault="009657BF" w:rsidP="009069D0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BB79C5" w:rsidRPr="009069D0" w:rsidRDefault="00B47114" w:rsidP="009069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t>Перша</w:t>
      </w:r>
      <w:r w:rsidR="00BB79C5" w:rsidRPr="009069D0">
        <w:rPr>
          <w:rFonts w:ascii="Times New Roman" w:hAnsi="Times New Roman"/>
          <w:sz w:val="28"/>
          <w:szCs w:val="28"/>
        </w:rPr>
        <w:t xml:space="preserve"> колегія суддів Другого</w:t>
      </w:r>
      <w:r w:rsidR="00BB79C5" w:rsidRPr="009069D0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="00BB79C5" w:rsidRPr="009069D0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9657BF" w:rsidRPr="009069D0" w:rsidRDefault="009657BF" w:rsidP="009069D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3EF3" w:rsidRDefault="00047C87" w:rsidP="009069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t>Юровської Галини Валентинівни – головуючої,</w:t>
      </w:r>
    </w:p>
    <w:p w:rsidR="00BB79C5" w:rsidRPr="009069D0" w:rsidRDefault="00B47114" w:rsidP="009069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t>Мойсика Володимира Романовича</w:t>
      </w:r>
      <w:r w:rsidR="00BB79C5" w:rsidRPr="009069D0">
        <w:rPr>
          <w:rFonts w:ascii="Times New Roman" w:hAnsi="Times New Roman"/>
          <w:sz w:val="28"/>
          <w:szCs w:val="28"/>
        </w:rPr>
        <w:t xml:space="preserve"> </w:t>
      </w:r>
      <w:r w:rsidR="00047C87" w:rsidRPr="009069D0">
        <w:rPr>
          <w:rFonts w:ascii="Times New Roman" w:hAnsi="Times New Roman"/>
          <w:sz w:val="28"/>
          <w:szCs w:val="28"/>
        </w:rPr>
        <w:t>–</w:t>
      </w:r>
      <w:r w:rsidR="00BB79C5" w:rsidRPr="009069D0">
        <w:rPr>
          <w:rFonts w:ascii="Times New Roman" w:hAnsi="Times New Roman"/>
          <w:sz w:val="28"/>
          <w:szCs w:val="28"/>
        </w:rPr>
        <w:t xml:space="preserve"> </w:t>
      </w:r>
      <w:r w:rsidR="00B21C5B" w:rsidRPr="009069D0">
        <w:rPr>
          <w:rFonts w:ascii="Times New Roman" w:hAnsi="Times New Roman"/>
          <w:sz w:val="28"/>
          <w:szCs w:val="28"/>
        </w:rPr>
        <w:t>доповідача,</w:t>
      </w:r>
    </w:p>
    <w:p w:rsidR="007F3223" w:rsidRPr="009069D0" w:rsidRDefault="00F764A4" w:rsidP="009069D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t>Сліденка Ігоря Дмитровича</w:t>
      </w:r>
      <w:r w:rsidR="007F3223" w:rsidRPr="009069D0">
        <w:rPr>
          <w:rFonts w:ascii="Times New Roman" w:hAnsi="Times New Roman"/>
          <w:sz w:val="28"/>
          <w:szCs w:val="28"/>
        </w:rPr>
        <w:t>,</w:t>
      </w:r>
    </w:p>
    <w:p w:rsidR="00BB79C5" w:rsidRPr="009069D0" w:rsidRDefault="00BB79C5" w:rsidP="009069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72706B" w:rsidRPr="009069D0" w:rsidRDefault="00BB79C5" w:rsidP="009069D0">
      <w:pPr>
        <w:spacing w:line="348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9069D0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</w:t>
      </w:r>
      <w:r w:rsidRPr="009069D0">
        <w:rPr>
          <w:rFonts w:ascii="Times New Roman" w:hAnsi="Times New Roman"/>
          <w:sz w:val="28"/>
          <w:szCs w:val="28"/>
        </w:rPr>
        <w:t xml:space="preserve">у справі за </w:t>
      </w:r>
      <w:r w:rsidRPr="009069D0">
        <w:rPr>
          <w:rFonts w:ascii="Times New Roman" w:hAnsi="Times New Roman"/>
          <w:color w:val="auto"/>
          <w:sz w:val="28"/>
          <w:szCs w:val="28"/>
        </w:rPr>
        <w:t xml:space="preserve">конституційною скаргою </w:t>
      </w:r>
      <w:r w:rsidR="00047C87" w:rsidRPr="009069D0">
        <w:rPr>
          <w:rFonts w:ascii="Times New Roman" w:hAnsi="Times New Roman"/>
          <w:color w:val="auto"/>
          <w:sz w:val="28"/>
          <w:szCs w:val="28"/>
        </w:rPr>
        <w:t xml:space="preserve">Ніколаєнка Івана Михайловича </w:t>
      </w:r>
      <w:r w:rsidR="00355340" w:rsidRPr="009069D0">
        <w:rPr>
          <w:rFonts w:ascii="Times New Roman" w:hAnsi="Times New Roman"/>
          <w:color w:val="auto"/>
          <w:sz w:val="28"/>
          <w:szCs w:val="28"/>
        </w:rPr>
        <w:t xml:space="preserve">щодо відповідності Конституції України (конституційності) </w:t>
      </w:r>
      <w:r w:rsidR="007D5BA9" w:rsidRPr="009069D0">
        <w:rPr>
          <w:rFonts w:ascii="Times New Roman" w:hAnsi="Times New Roman"/>
          <w:color w:val="auto"/>
          <w:sz w:val="28"/>
          <w:szCs w:val="28"/>
        </w:rPr>
        <w:t xml:space="preserve">частини третьої статті 59 Закону України „Про статус і соціальний захист громадян, які постраждали внаслідок Чорнобильської катастрофи“ від 28 лютого 1991 року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D5BA9" w:rsidRPr="009069D0">
        <w:rPr>
          <w:rFonts w:ascii="Times New Roman" w:hAnsi="Times New Roman"/>
          <w:color w:val="auto"/>
          <w:sz w:val="28"/>
          <w:szCs w:val="28"/>
        </w:rPr>
        <w:t>796–ХІІ (Відомості Верховної Ради У</w:t>
      </w:r>
      <w:r w:rsidR="004B4C9B" w:rsidRPr="009069D0">
        <w:rPr>
          <w:rFonts w:ascii="Times New Roman" w:hAnsi="Times New Roman"/>
          <w:color w:val="auto"/>
          <w:sz w:val="28"/>
          <w:szCs w:val="28"/>
        </w:rPr>
        <w:t xml:space="preserve">країнської </w:t>
      </w:r>
      <w:r w:rsidR="007D5BA9" w:rsidRPr="009069D0">
        <w:rPr>
          <w:rFonts w:ascii="Times New Roman" w:hAnsi="Times New Roman"/>
          <w:color w:val="auto"/>
          <w:sz w:val="28"/>
          <w:szCs w:val="28"/>
        </w:rPr>
        <w:t xml:space="preserve">РСР, 1991 р.,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D5BA9" w:rsidRPr="009069D0">
        <w:rPr>
          <w:rFonts w:ascii="Times New Roman" w:hAnsi="Times New Roman"/>
          <w:color w:val="auto"/>
          <w:sz w:val="28"/>
          <w:szCs w:val="28"/>
        </w:rPr>
        <w:t xml:space="preserve">16, ст. 200) </w:t>
      </w:r>
      <w:r w:rsidR="004B4C9B" w:rsidRPr="009069D0">
        <w:rPr>
          <w:rFonts w:ascii="Times New Roman" w:hAnsi="Times New Roman"/>
          <w:color w:val="auto"/>
          <w:sz w:val="28"/>
          <w:szCs w:val="28"/>
        </w:rPr>
        <w:t xml:space="preserve">зі змінами, </w:t>
      </w:r>
      <w:r w:rsidR="007D5BA9" w:rsidRPr="009069D0">
        <w:rPr>
          <w:rFonts w:ascii="Times New Roman" w:hAnsi="Times New Roman"/>
          <w:color w:val="auto"/>
          <w:sz w:val="28"/>
          <w:szCs w:val="28"/>
        </w:rPr>
        <w:t xml:space="preserve">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D5BA9" w:rsidRPr="009069D0">
        <w:rPr>
          <w:rFonts w:ascii="Times New Roman" w:hAnsi="Times New Roman"/>
          <w:color w:val="auto"/>
          <w:sz w:val="28"/>
          <w:szCs w:val="28"/>
        </w:rPr>
        <w:t>2262–ХІІ</w:t>
      </w:r>
      <w:r w:rsidR="00220612" w:rsidRPr="009069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633FA" w:rsidRPr="009069D0">
        <w:rPr>
          <w:rFonts w:ascii="Times New Roman" w:hAnsi="Times New Roman"/>
          <w:color w:val="auto"/>
          <w:sz w:val="28"/>
          <w:szCs w:val="28"/>
        </w:rPr>
        <w:t xml:space="preserve">(Відомості Верховної Ради України, </w:t>
      </w:r>
      <w:r w:rsidR="007D5BA9" w:rsidRPr="009069D0">
        <w:rPr>
          <w:rFonts w:ascii="Times New Roman" w:hAnsi="Times New Roman"/>
          <w:color w:val="auto"/>
          <w:sz w:val="28"/>
          <w:szCs w:val="28"/>
        </w:rPr>
        <w:t>1992</w:t>
      </w:r>
      <w:r w:rsidR="00A633FA" w:rsidRPr="009069D0">
        <w:rPr>
          <w:rFonts w:ascii="Times New Roman" w:hAnsi="Times New Roman"/>
          <w:color w:val="auto"/>
          <w:sz w:val="28"/>
          <w:szCs w:val="28"/>
        </w:rPr>
        <w:t xml:space="preserve"> р.,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D5BA9" w:rsidRPr="009069D0">
        <w:rPr>
          <w:rFonts w:ascii="Times New Roman" w:hAnsi="Times New Roman"/>
          <w:color w:val="auto"/>
          <w:sz w:val="28"/>
          <w:szCs w:val="28"/>
        </w:rPr>
        <w:t>29</w:t>
      </w:r>
      <w:r w:rsidR="00A633FA" w:rsidRPr="009069D0">
        <w:rPr>
          <w:rFonts w:ascii="Times New Roman" w:hAnsi="Times New Roman"/>
          <w:color w:val="auto"/>
          <w:sz w:val="28"/>
          <w:szCs w:val="28"/>
        </w:rPr>
        <w:t>, ст. 3</w:t>
      </w:r>
      <w:r w:rsidR="007D5BA9" w:rsidRPr="009069D0">
        <w:rPr>
          <w:rFonts w:ascii="Times New Roman" w:hAnsi="Times New Roman"/>
          <w:color w:val="auto"/>
          <w:sz w:val="28"/>
          <w:szCs w:val="28"/>
        </w:rPr>
        <w:t>9</w:t>
      </w:r>
      <w:r w:rsidR="00A633FA" w:rsidRPr="009069D0">
        <w:rPr>
          <w:rFonts w:ascii="Times New Roman" w:hAnsi="Times New Roman"/>
          <w:color w:val="auto"/>
          <w:sz w:val="28"/>
          <w:szCs w:val="28"/>
        </w:rPr>
        <w:t>9)</w:t>
      </w:r>
      <w:r w:rsidR="009069D0" w:rsidRPr="009069D0">
        <w:rPr>
          <w:rFonts w:ascii="Times New Roman" w:hAnsi="Times New Roman"/>
          <w:color w:val="auto"/>
          <w:sz w:val="28"/>
          <w:szCs w:val="28"/>
        </w:rPr>
        <w:br/>
      </w:r>
      <w:r w:rsidR="004B4C9B" w:rsidRPr="009069D0">
        <w:rPr>
          <w:rFonts w:ascii="Times New Roman" w:hAnsi="Times New Roman"/>
          <w:color w:val="auto"/>
          <w:sz w:val="28"/>
          <w:szCs w:val="28"/>
        </w:rPr>
        <w:t>зі змінами.</w:t>
      </w:r>
    </w:p>
    <w:p w:rsidR="009657BF" w:rsidRPr="009069D0" w:rsidRDefault="00B21C5B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lastRenderedPageBreak/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B47E29" w:rsidRPr="009069D0" w:rsidRDefault="00B47E29" w:rsidP="009069D0">
      <w:pPr>
        <w:spacing w:line="348" w:lineRule="auto"/>
        <w:ind w:firstLine="709"/>
        <w:rPr>
          <w:rFonts w:ascii="Times New Roman" w:hAnsi="Times New Roman"/>
          <w:sz w:val="28"/>
          <w:szCs w:val="28"/>
        </w:rPr>
      </w:pPr>
    </w:p>
    <w:p w:rsidR="00BB79C5" w:rsidRPr="009069D0" w:rsidRDefault="00BB79C5" w:rsidP="009069D0">
      <w:pPr>
        <w:spacing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9069D0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95BE5" w:rsidRPr="009069D0" w:rsidRDefault="00895BE5" w:rsidP="009069D0">
      <w:pPr>
        <w:spacing w:line="348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2B73" w:rsidRPr="009069D0" w:rsidRDefault="00BB79C5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t xml:space="preserve">1. </w:t>
      </w:r>
      <w:r w:rsidR="00D034EA" w:rsidRPr="009069D0">
        <w:rPr>
          <w:rFonts w:ascii="Times New Roman" w:hAnsi="Times New Roman"/>
          <w:sz w:val="28"/>
          <w:szCs w:val="28"/>
        </w:rPr>
        <w:t xml:space="preserve">До Конституційного Суду України </w:t>
      </w:r>
      <w:r w:rsidR="00D80C9A" w:rsidRPr="009069D0">
        <w:rPr>
          <w:rFonts w:ascii="Times New Roman" w:hAnsi="Times New Roman"/>
          <w:sz w:val="28"/>
          <w:szCs w:val="28"/>
        </w:rPr>
        <w:t>звернувся</w:t>
      </w:r>
      <w:r w:rsidRPr="009069D0">
        <w:rPr>
          <w:rFonts w:ascii="Times New Roman" w:hAnsi="Times New Roman"/>
          <w:sz w:val="28"/>
          <w:szCs w:val="28"/>
        </w:rPr>
        <w:t xml:space="preserve"> </w:t>
      </w:r>
      <w:r w:rsidR="006F2B73" w:rsidRPr="009069D0">
        <w:rPr>
          <w:rFonts w:ascii="Times New Roman" w:hAnsi="Times New Roman"/>
          <w:color w:val="auto"/>
          <w:sz w:val="28"/>
          <w:szCs w:val="28"/>
        </w:rPr>
        <w:t xml:space="preserve">Ніколаєнко І.М. </w:t>
      </w:r>
      <w:r w:rsidR="007B5C61" w:rsidRPr="009069D0">
        <w:rPr>
          <w:rFonts w:ascii="Times New Roman" w:hAnsi="Times New Roman"/>
          <w:sz w:val="28"/>
          <w:szCs w:val="28"/>
        </w:rPr>
        <w:t>і</w:t>
      </w:r>
      <w:r w:rsidRPr="009069D0">
        <w:rPr>
          <w:rFonts w:ascii="Times New Roman" w:hAnsi="Times New Roman"/>
          <w:sz w:val="28"/>
          <w:szCs w:val="28"/>
        </w:rPr>
        <w:t xml:space="preserve">з клопотанням </w:t>
      </w:r>
      <w:r w:rsidR="00D034EA" w:rsidRPr="009069D0">
        <w:rPr>
          <w:rFonts w:ascii="Times New Roman" w:hAnsi="Times New Roman"/>
          <w:sz w:val="28"/>
          <w:szCs w:val="28"/>
        </w:rPr>
        <w:t>визнати таким</w:t>
      </w:r>
      <w:r w:rsidR="00D80C9A" w:rsidRPr="009069D0">
        <w:rPr>
          <w:rFonts w:ascii="Times New Roman" w:hAnsi="Times New Roman"/>
          <w:sz w:val="28"/>
          <w:szCs w:val="28"/>
        </w:rPr>
        <w:t>и, що не відповідають</w:t>
      </w:r>
      <w:r w:rsidR="00355340" w:rsidRPr="009069D0">
        <w:rPr>
          <w:rFonts w:ascii="Times New Roman" w:hAnsi="Times New Roman"/>
          <w:sz w:val="28"/>
          <w:szCs w:val="28"/>
        </w:rPr>
        <w:t xml:space="preserve"> </w:t>
      </w:r>
      <w:r w:rsidR="006F2B73" w:rsidRPr="009069D0">
        <w:rPr>
          <w:rFonts w:ascii="Times New Roman" w:hAnsi="Times New Roman"/>
          <w:sz w:val="28"/>
          <w:szCs w:val="28"/>
        </w:rPr>
        <w:t xml:space="preserve">статтям 3, 8, 9, 16, 17, 19, 22, пунктам 1, 6 частини першої статті 92, </w:t>
      </w:r>
      <w:r w:rsidR="00B21C5B" w:rsidRPr="009069D0">
        <w:rPr>
          <w:rFonts w:ascii="Times New Roman" w:hAnsi="Times New Roman"/>
          <w:sz w:val="28"/>
          <w:szCs w:val="28"/>
        </w:rPr>
        <w:t>частин</w:t>
      </w:r>
      <w:r w:rsidR="00042BA1" w:rsidRPr="009069D0">
        <w:rPr>
          <w:rFonts w:ascii="Times New Roman" w:hAnsi="Times New Roman"/>
          <w:sz w:val="28"/>
          <w:szCs w:val="28"/>
        </w:rPr>
        <w:t>ам другій, трет</w:t>
      </w:r>
      <w:r w:rsidR="00B21C5B" w:rsidRPr="009069D0">
        <w:rPr>
          <w:rFonts w:ascii="Times New Roman" w:hAnsi="Times New Roman"/>
          <w:sz w:val="28"/>
          <w:szCs w:val="28"/>
        </w:rPr>
        <w:t xml:space="preserve">ій статті </w:t>
      </w:r>
      <w:r w:rsidR="006F2B73" w:rsidRPr="009069D0">
        <w:rPr>
          <w:rFonts w:ascii="Times New Roman" w:hAnsi="Times New Roman"/>
          <w:sz w:val="28"/>
          <w:szCs w:val="28"/>
        </w:rPr>
        <w:t>1</w:t>
      </w:r>
      <w:r w:rsidR="00B21C5B" w:rsidRPr="009069D0">
        <w:rPr>
          <w:rFonts w:ascii="Times New Roman" w:hAnsi="Times New Roman"/>
          <w:sz w:val="28"/>
          <w:szCs w:val="28"/>
        </w:rPr>
        <w:t>2</w:t>
      </w:r>
      <w:r w:rsidR="006F2B73" w:rsidRPr="009069D0">
        <w:rPr>
          <w:rFonts w:ascii="Times New Roman" w:hAnsi="Times New Roman"/>
          <w:sz w:val="28"/>
          <w:szCs w:val="28"/>
        </w:rPr>
        <w:t>4</w:t>
      </w:r>
      <w:r w:rsidR="00B21C5B" w:rsidRPr="009069D0">
        <w:rPr>
          <w:rFonts w:ascii="Times New Roman" w:hAnsi="Times New Roman"/>
          <w:sz w:val="28"/>
          <w:szCs w:val="28"/>
        </w:rPr>
        <w:t>,</w:t>
      </w:r>
      <w:r w:rsidR="009069D0" w:rsidRPr="009069D0">
        <w:rPr>
          <w:rFonts w:ascii="Times New Roman" w:hAnsi="Times New Roman"/>
          <w:sz w:val="28"/>
          <w:szCs w:val="28"/>
        </w:rPr>
        <w:br/>
      </w:r>
      <w:r w:rsidR="00355340" w:rsidRPr="009069D0">
        <w:rPr>
          <w:rFonts w:ascii="Times New Roman" w:hAnsi="Times New Roman"/>
          <w:sz w:val="28"/>
          <w:szCs w:val="28"/>
        </w:rPr>
        <w:t>частині першій</w:t>
      </w:r>
      <w:r w:rsidR="00B21C5B" w:rsidRPr="009069D0">
        <w:rPr>
          <w:rFonts w:ascii="Times New Roman" w:hAnsi="Times New Roman"/>
          <w:sz w:val="28"/>
          <w:szCs w:val="28"/>
        </w:rPr>
        <w:t xml:space="preserve"> статті </w:t>
      </w:r>
      <w:r w:rsidR="006F2B73" w:rsidRPr="009069D0">
        <w:rPr>
          <w:rFonts w:ascii="Times New Roman" w:hAnsi="Times New Roman"/>
          <w:sz w:val="28"/>
          <w:szCs w:val="28"/>
        </w:rPr>
        <w:t>129</w:t>
      </w:r>
      <w:r w:rsidR="00355340" w:rsidRPr="009069D0">
        <w:rPr>
          <w:rFonts w:ascii="Times New Roman" w:hAnsi="Times New Roman"/>
          <w:sz w:val="28"/>
          <w:szCs w:val="28"/>
        </w:rPr>
        <w:t>,</w:t>
      </w:r>
      <w:r w:rsidR="00042BA1" w:rsidRPr="009069D0">
        <w:rPr>
          <w:rFonts w:ascii="Times New Roman" w:hAnsi="Times New Roman"/>
          <w:sz w:val="28"/>
          <w:szCs w:val="28"/>
        </w:rPr>
        <w:t xml:space="preserve"> </w:t>
      </w:r>
      <w:r w:rsidR="000C5539" w:rsidRPr="009069D0">
        <w:rPr>
          <w:rFonts w:ascii="Times New Roman" w:hAnsi="Times New Roman"/>
          <w:sz w:val="28"/>
          <w:szCs w:val="28"/>
        </w:rPr>
        <w:t>статтям</w:t>
      </w:r>
      <w:r w:rsidR="006F2B73" w:rsidRPr="009069D0">
        <w:rPr>
          <w:rFonts w:ascii="Times New Roman" w:hAnsi="Times New Roman"/>
          <w:sz w:val="28"/>
          <w:szCs w:val="28"/>
        </w:rPr>
        <w:t xml:space="preserve"> 147, 150, 151</w:t>
      </w:r>
      <w:r w:rsidR="006F2B73" w:rsidRPr="009069D0">
        <w:rPr>
          <w:rFonts w:ascii="Times New Roman" w:hAnsi="Times New Roman"/>
          <w:sz w:val="28"/>
          <w:szCs w:val="28"/>
          <w:vertAlign w:val="superscript"/>
        </w:rPr>
        <w:t>2</w:t>
      </w:r>
      <w:r w:rsidR="006F2B73" w:rsidRPr="009069D0">
        <w:rPr>
          <w:rFonts w:ascii="Times New Roman" w:hAnsi="Times New Roman"/>
          <w:sz w:val="28"/>
          <w:szCs w:val="28"/>
        </w:rPr>
        <w:t xml:space="preserve"> </w:t>
      </w:r>
      <w:r w:rsidR="009069D0" w:rsidRPr="009069D0">
        <w:rPr>
          <w:rFonts w:ascii="Times New Roman" w:hAnsi="Times New Roman"/>
          <w:sz w:val="28"/>
          <w:szCs w:val="28"/>
        </w:rPr>
        <w:t>Конституції України</w:t>
      </w:r>
      <w:r w:rsidR="009069D0" w:rsidRPr="009069D0">
        <w:rPr>
          <w:rFonts w:ascii="Times New Roman" w:hAnsi="Times New Roman"/>
          <w:sz w:val="28"/>
          <w:szCs w:val="28"/>
        </w:rPr>
        <w:br/>
      </w:r>
      <w:r w:rsidR="007B5C61" w:rsidRPr="009069D0">
        <w:rPr>
          <w:rFonts w:ascii="Times New Roman" w:hAnsi="Times New Roman"/>
          <w:sz w:val="28"/>
          <w:szCs w:val="28"/>
        </w:rPr>
        <w:t>(є</w:t>
      </w:r>
      <w:r w:rsidR="009861EE" w:rsidRPr="009069D0">
        <w:rPr>
          <w:rFonts w:ascii="Times New Roman" w:hAnsi="Times New Roman"/>
          <w:sz w:val="28"/>
          <w:szCs w:val="28"/>
        </w:rPr>
        <w:t xml:space="preserve"> </w:t>
      </w:r>
      <w:r w:rsidR="006A582E" w:rsidRPr="009069D0">
        <w:rPr>
          <w:rFonts w:ascii="Times New Roman" w:hAnsi="Times New Roman"/>
          <w:sz w:val="28"/>
          <w:szCs w:val="28"/>
        </w:rPr>
        <w:t>неконституційними)</w:t>
      </w:r>
      <w:r w:rsidR="00D034EA" w:rsidRPr="009069D0">
        <w:rPr>
          <w:rFonts w:ascii="Times New Roman" w:hAnsi="Times New Roman"/>
          <w:sz w:val="28"/>
          <w:szCs w:val="28"/>
        </w:rPr>
        <w:t xml:space="preserve">, </w:t>
      </w:r>
      <w:r w:rsidR="000C5539" w:rsidRPr="009069D0">
        <w:rPr>
          <w:rFonts w:ascii="Times New Roman" w:hAnsi="Times New Roman"/>
          <w:sz w:val="28"/>
          <w:szCs w:val="28"/>
        </w:rPr>
        <w:t>частин</w:t>
      </w:r>
      <w:r w:rsidR="003C1858" w:rsidRPr="009069D0">
        <w:rPr>
          <w:rFonts w:ascii="Times New Roman" w:hAnsi="Times New Roman"/>
          <w:sz w:val="28"/>
          <w:szCs w:val="28"/>
        </w:rPr>
        <w:t>у</w:t>
      </w:r>
      <w:r w:rsidR="006F2B73" w:rsidRPr="009069D0">
        <w:rPr>
          <w:rFonts w:ascii="Times New Roman" w:hAnsi="Times New Roman"/>
          <w:sz w:val="28"/>
          <w:szCs w:val="28"/>
        </w:rPr>
        <w:t xml:space="preserve"> трет</w:t>
      </w:r>
      <w:r w:rsidR="003C1858" w:rsidRPr="009069D0">
        <w:rPr>
          <w:rFonts w:ascii="Times New Roman" w:hAnsi="Times New Roman"/>
          <w:sz w:val="28"/>
          <w:szCs w:val="28"/>
        </w:rPr>
        <w:t>ю</w:t>
      </w:r>
      <w:r w:rsidR="006F2B73" w:rsidRPr="009069D0">
        <w:rPr>
          <w:rFonts w:ascii="Times New Roman" w:hAnsi="Times New Roman"/>
          <w:sz w:val="28"/>
          <w:szCs w:val="28"/>
        </w:rPr>
        <w:t xml:space="preserve"> статті 59 Закону України „Про статус і соціальний захист громадян, які постраждали внаслідок Чорнобильської катастрофи“ від 28 лютого 1991 року </w:t>
      </w:r>
      <w:r w:rsidR="009E3EF3">
        <w:rPr>
          <w:rFonts w:ascii="Times New Roman" w:hAnsi="Times New Roman"/>
          <w:sz w:val="28"/>
          <w:szCs w:val="28"/>
        </w:rPr>
        <w:t xml:space="preserve">№ </w:t>
      </w:r>
      <w:r w:rsidR="006F2B73" w:rsidRPr="009069D0">
        <w:rPr>
          <w:rFonts w:ascii="Times New Roman" w:hAnsi="Times New Roman"/>
          <w:sz w:val="28"/>
          <w:szCs w:val="28"/>
        </w:rPr>
        <w:t xml:space="preserve">796–ХІІ </w:t>
      </w:r>
      <w:r w:rsidR="00A95991" w:rsidRPr="009069D0">
        <w:rPr>
          <w:rFonts w:ascii="Times New Roman" w:hAnsi="Times New Roman"/>
          <w:color w:val="auto"/>
          <w:sz w:val="28"/>
          <w:szCs w:val="28"/>
        </w:rPr>
        <w:t xml:space="preserve">зі змінами </w:t>
      </w:r>
      <w:r w:rsidR="006F2B73" w:rsidRPr="009069D0">
        <w:rPr>
          <w:rFonts w:ascii="Times New Roman" w:hAnsi="Times New Roman"/>
          <w:sz w:val="28"/>
          <w:szCs w:val="28"/>
        </w:rPr>
        <w:t xml:space="preserve">(далі – Закон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6F2B73" w:rsidRPr="009069D0">
        <w:rPr>
          <w:rFonts w:ascii="Times New Roman" w:hAnsi="Times New Roman"/>
          <w:sz w:val="28"/>
          <w:szCs w:val="28"/>
        </w:rPr>
        <w:t>796), стат</w:t>
      </w:r>
      <w:r w:rsidR="000C5539" w:rsidRPr="009069D0">
        <w:rPr>
          <w:rFonts w:ascii="Times New Roman" w:hAnsi="Times New Roman"/>
          <w:sz w:val="28"/>
          <w:szCs w:val="28"/>
        </w:rPr>
        <w:t>ті</w:t>
      </w:r>
      <w:r w:rsidR="006F2B73" w:rsidRPr="009069D0">
        <w:rPr>
          <w:rFonts w:ascii="Times New Roman" w:hAnsi="Times New Roman"/>
          <w:sz w:val="28"/>
          <w:szCs w:val="28"/>
        </w:rPr>
        <w:t xml:space="preserve"> 11, 21 Закону України „Про пенсійне забезпечення осіб, звільнених з військової служби, та деяких інших осіб“ від 9 квітня 1992 року </w:t>
      </w:r>
      <w:r w:rsidR="009E3EF3">
        <w:rPr>
          <w:rFonts w:ascii="Times New Roman" w:hAnsi="Times New Roman"/>
          <w:sz w:val="28"/>
          <w:szCs w:val="28"/>
        </w:rPr>
        <w:t xml:space="preserve">№ </w:t>
      </w:r>
      <w:r w:rsidR="006F2B73" w:rsidRPr="009069D0">
        <w:rPr>
          <w:rFonts w:ascii="Times New Roman" w:hAnsi="Times New Roman"/>
          <w:sz w:val="28"/>
          <w:szCs w:val="28"/>
        </w:rPr>
        <w:t>2262–ХІІ</w:t>
      </w:r>
      <w:r w:rsidR="00021C68" w:rsidRPr="009069D0">
        <w:rPr>
          <w:rFonts w:ascii="Times New Roman" w:hAnsi="Times New Roman"/>
          <w:sz w:val="28"/>
          <w:szCs w:val="28"/>
        </w:rPr>
        <w:t xml:space="preserve"> зі змінами</w:t>
      </w:r>
      <w:r w:rsidR="00AF0B43" w:rsidRPr="009069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0B43" w:rsidRPr="009069D0">
        <w:rPr>
          <w:rFonts w:ascii="Times New Roman" w:hAnsi="Times New Roman"/>
          <w:sz w:val="28"/>
          <w:szCs w:val="28"/>
        </w:rPr>
        <w:t xml:space="preserve">(далі – Закон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6F2B73" w:rsidRPr="009069D0">
        <w:rPr>
          <w:rFonts w:ascii="Times New Roman" w:hAnsi="Times New Roman"/>
          <w:sz w:val="28"/>
          <w:szCs w:val="28"/>
        </w:rPr>
        <w:t>2262</w:t>
      </w:r>
      <w:r w:rsidR="00AF0B43" w:rsidRPr="009069D0">
        <w:rPr>
          <w:rFonts w:ascii="Times New Roman" w:hAnsi="Times New Roman"/>
          <w:sz w:val="28"/>
          <w:szCs w:val="28"/>
        </w:rPr>
        <w:t>)</w:t>
      </w:r>
      <w:r w:rsidR="00021C68" w:rsidRPr="009069D0">
        <w:rPr>
          <w:rFonts w:ascii="Times New Roman" w:hAnsi="Times New Roman"/>
          <w:sz w:val="28"/>
          <w:szCs w:val="28"/>
        </w:rPr>
        <w:t>.</w:t>
      </w:r>
    </w:p>
    <w:p w:rsidR="00831005" w:rsidRPr="009069D0" w:rsidRDefault="000947E2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t>Ч</w:t>
      </w:r>
      <w:r w:rsidR="00B36EC6" w:rsidRPr="009069D0">
        <w:rPr>
          <w:rFonts w:ascii="Times New Roman" w:hAnsi="Times New Roman"/>
          <w:sz w:val="28"/>
          <w:szCs w:val="28"/>
        </w:rPr>
        <w:t>астин</w:t>
      </w:r>
      <w:r w:rsidRPr="009069D0">
        <w:rPr>
          <w:rFonts w:ascii="Times New Roman" w:hAnsi="Times New Roman"/>
          <w:sz w:val="28"/>
          <w:szCs w:val="28"/>
        </w:rPr>
        <w:t>ою</w:t>
      </w:r>
      <w:r w:rsidR="00B36EC6" w:rsidRPr="009069D0">
        <w:rPr>
          <w:rFonts w:ascii="Times New Roman" w:hAnsi="Times New Roman"/>
          <w:sz w:val="28"/>
          <w:szCs w:val="28"/>
        </w:rPr>
        <w:t xml:space="preserve"> трет</w:t>
      </w:r>
      <w:r w:rsidRPr="009069D0">
        <w:rPr>
          <w:rFonts w:ascii="Times New Roman" w:hAnsi="Times New Roman"/>
          <w:sz w:val="28"/>
          <w:szCs w:val="28"/>
        </w:rPr>
        <w:t>ьою</w:t>
      </w:r>
      <w:r w:rsidR="00B36EC6" w:rsidRPr="009069D0">
        <w:rPr>
          <w:rFonts w:ascii="Times New Roman" w:hAnsi="Times New Roman"/>
          <w:sz w:val="28"/>
          <w:szCs w:val="28"/>
        </w:rPr>
        <w:t xml:space="preserve"> статті 59 Закону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B36EC6" w:rsidRPr="009069D0">
        <w:rPr>
          <w:rFonts w:ascii="Times New Roman" w:hAnsi="Times New Roman"/>
          <w:sz w:val="28"/>
          <w:szCs w:val="28"/>
        </w:rPr>
        <w:t>796</w:t>
      </w:r>
      <w:r w:rsidR="00831005" w:rsidRPr="009069D0">
        <w:rPr>
          <w:rFonts w:ascii="Times New Roman" w:hAnsi="Times New Roman"/>
          <w:sz w:val="28"/>
          <w:szCs w:val="28"/>
        </w:rPr>
        <w:t xml:space="preserve"> передбачено</w:t>
      </w:r>
      <w:r w:rsidR="00B36EC6" w:rsidRPr="009069D0">
        <w:rPr>
          <w:rFonts w:ascii="Times New Roman" w:hAnsi="Times New Roman"/>
          <w:sz w:val="28"/>
          <w:szCs w:val="28"/>
        </w:rPr>
        <w:t xml:space="preserve">, що особам, які брали участь у ліквідації наслідків Чорнобильської катастрофи, інших ядерних аварій та випробувань, у військових навчаннях із застосуванням ядерної зброї під час проходження дійсної строкової служби і внаслідок цього стали особами з інвалідністю, пенсія по інвалідності обчислюється відповідно до </w:t>
      </w:r>
      <w:r w:rsidR="00A131D3" w:rsidRPr="009069D0">
        <w:rPr>
          <w:rFonts w:ascii="Times New Roman" w:hAnsi="Times New Roman"/>
          <w:sz w:val="28"/>
          <w:szCs w:val="28"/>
        </w:rPr>
        <w:t>З</w:t>
      </w:r>
      <w:r w:rsidR="00B36EC6" w:rsidRPr="009069D0">
        <w:rPr>
          <w:rFonts w:ascii="Times New Roman" w:hAnsi="Times New Roman"/>
          <w:sz w:val="28"/>
          <w:szCs w:val="28"/>
        </w:rPr>
        <w:t>акону</w:t>
      </w:r>
      <w:r w:rsidR="00A131D3" w:rsidRPr="009069D0">
        <w:rPr>
          <w:rFonts w:ascii="Times New Roman" w:hAnsi="Times New Roman"/>
          <w:sz w:val="28"/>
          <w:szCs w:val="28"/>
        </w:rPr>
        <w:t xml:space="preserve"> </w:t>
      </w:r>
      <w:r w:rsidR="009E3EF3">
        <w:rPr>
          <w:rFonts w:ascii="Times New Roman" w:hAnsi="Times New Roman"/>
          <w:sz w:val="28"/>
          <w:szCs w:val="28"/>
        </w:rPr>
        <w:t xml:space="preserve">№ </w:t>
      </w:r>
      <w:r w:rsidR="00A131D3" w:rsidRPr="009069D0">
        <w:rPr>
          <w:rFonts w:ascii="Times New Roman" w:hAnsi="Times New Roman"/>
          <w:sz w:val="28"/>
          <w:szCs w:val="28"/>
        </w:rPr>
        <w:t>796</w:t>
      </w:r>
      <w:r w:rsidR="00B36EC6" w:rsidRPr="009069D0">
        <w:rPr>
          <w:rFonts w:ascii="Times New Roman" w:hAnsi="Times New Roman"/>
          <w:sz w:val="28"/>
          <w:szCs w:val="28"/>
        </w:rPr>
        <w:t xml:space="preserve"> або за бажанням таких осіб – з п’ятикратного розміру мінімальної заробітної плати, встановленої законом на 1 січня відповідного року.</w:t>
      </w:r>
    </w:p>
    <w:p w:rsidR="00B36EC6" w:rsidRPr="009069D0" w:rsidRDefault="003C1858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t>Згідно зі</w:t>
      </w:r>
      <w:r w:rsidR="00B36EC6" w:rsidRPr="009069D0">
        <w:rPr>
          <w:rFonts w:ascii="Times New Roman" w:hAnsi="Times New Roman"/>
          <w:sz w:val="28"/>
          <w:szCs w:val="28"/>
        </w:rPr>
        <w:t xml:space="preserve"> статт</w:t>
      </w:r>
      <w:r w:rsidRPr="009069D0">
        <w:rPr>
          <w:rFonts w:ascii="Times New Roman" w:hAnsi="Times New Roman"/>
          <w:sz w:val="28"/>
          <w:szCs w:val="28"/>
        </w:rPr>
        <w:t>ею</w:t>
      </w:r>
      <w:r w:rsidR="00B36EC6" w:rsidRPr="009069D0">
        <w:rPr>
          <w:rFonts w:ascii="Times New Roman" w:hAnsi="Times New Roman"/>
          <w:sz w:val="28"/>
          <w:szCs w:val="28"/>
        </w:rPr>
        <w:t xml:space="preserve"> 11 Закону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B36EC6" w:rsidRPr="009069D0">
        <w:rPr>
          <w:rFonts w:ascii="Times New Roman" w:hAnsi="Times New Roman"/>
          <w:sz w:val="28"/>
          <w:szCs w:val="28"/>
        </w:rPr>
        <w:t>2262 умови, норми і порядок пенсійного забезпечення військовослужбовців, осіб, які мають право на пенсію за</w:t>
      </w:r>
      <w:r w:rsidR="009069D0" w:rsidRPr="009069D0">
        <w:rPr>
          <w:rFonts w:ascii="Times New Roman" w:hAnsi="Times New Roman"/>
          <w:sz w:val="28"/>
          <w:szCs w:val="28"/>
        </w:rPr>
        <w:br/>
      </w:r>
      <w:r w:rsidR="00A131D3" w:rsidRPr="009069D0">
        <w:rPr>
          <w:rFonts w:ascii="Times New Roman" w:hAnsi="Times New Roman"/>
          <w:sz w:val="28"/>
          <w:szCs w:val="28"/>
        </w:rPr>
        <w:t xml:space="preserve">Законом </w:t>
      </w:r>
      <w:r w:rsidR="009E3EF3">
        <w:rPr>
          <w:rFonts w:ascii="Times New Roman" w:hAnsi="Times New Roman"/>
          <w:sz w:val="28"/>
          <w:szCs w:val="28"/>
        </w:rPr>
        <w:t xml:space="preserve">№ </w:t>
      </w:r>
      <w:r w:rsidR="00A131D3" w:rsidRPr="009069D0">
        <w:rPr>
          <w:rFonts w:ascii="Times New Roman" w:hAnsi="Times New Roman"/>
          <w:sz w:val="28"/>
          <w:szCs w:val="28"/>
        </w:rPr>
        <w:t>2262</w:t>
      </w:r>
      <w:r w:rsidR="00B36EC6" w:rsidRPr="009069D0">
        <w:rPr>
          <w:rFonts w:ascii="Times New Roman" w:hAnsi="Times New Roman"/>
          <w:sz w:val="28"/>
          <w:szCs w:val="28"/>
        </w:rPr>
        <w:t xml:space="preserve">, які постраждали внаслідок Чорнобильської катастрофи, визначаються Законом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B36EC6" w:rsidRPr="009069D0">
        <w:rPr>
          <w:rFonts w:ascii="Times New Roman" w:hAnsi="Times New Roman"/>
          <w:sz w:val="28"/>
          <w:szCs w:val="28"/>
        </w:rPr>
        <w:t xml:space="preserve">796 і </w:t>
      </w:r>
      <w:r w:rsidR="00A131D3" w:rsidRPr="009069D0">
        <w:rPr>
          <w:rFonts w:ascii="Times New Roman" w:hAnsi="Times New Roman"/>
          <w:sz w:val="28"/>
          <w:szCs w:val="28"/>
        </w:rPr>
        <w:t>З</w:t>
      </w:r>
      <w:r w:rsidR="00B36EC6" w:rsidRPr="009069D0">
        <w:rPr>
          <w:rFonts w:ascii="Times New Roman" w:hAnsi="Times New Roman"/>
          <w:sz w:val="28"/>
          <w:szCs w:val="28"/>
        </w:rPr>
        <w:t>аконом</w:t>
      </w:r>
      <w:r w:rsidR="00A131D3" w:rsidRPr="009069D0">
        <w:rPr>
          <w:rFonts w:ascii="Times New Roman" w:hAnsi="Times New Roman"/>
          <w:sz w:val="28"/>
          <w:szCs w:val="28"/>
        </w:rPr>
        <w:t xml:space="preserve"> </w:t>
      </w:r>
      <w:r w:rsidR="009E3EF3">
        <w:rPr>
          <w:rFonts w:ascii="Times New Roman" w:hAnsi="Times New Roman"/>
          <w:sz w:val="28"/>
          <w:szCs w:val="28"/>
        </w:rPr>
        <w:t xml:space="preserve">№ </w:t>
      </w:r>
      <w:r w:rsidR="00A131D3" w:rsidRPr="009069D0">
        <w:rPr>
          <w:rFonts w:ascii="Times New Roman" w:hAnsi="Times New Roman"/>
          <w:sz w:val="28"/>
          <w:szCs w:val="28"/>
        </w:rPr>
        <w:t>2262</w:t>
      </w:r>
      <w:r w:rsidR="00B36EC6" w:rsidRPr="009069D0">
        <w:rPr>
          <w:rFonts w:ascii="Times New Roman" w:hAnsi="Times New Roman"/>
          <w:sz w:val="28"/>
          <w:szCs w:val="28"/>
        </w:rPr>
        <w:t>.</w:t>
      </w:r>
    </w:p>
    <w:p w:rsidR="009E3EF3" w:rsidRDefault="00021C68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t xml:space="preserve">Статтею 21 Закону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9069D0">
        <w:rPr>
          <w:rFonts w:ascii="Times New Roman" w:hAnsi="Times New Roman"/>
          <w:sz w:val="28"/>
          <w:szCs w:val="28"/>
        </w:rPr>
        <w:t xml:space="preserve">2262 визначено, що пенсії по інвалідності військовослужбовцям, особам, які мають право на пенсію за </w:t>
      </w:r>
      <w:r w:rsidR="00A131D3" w:rsidRPr="009069D0">
        <w:rPr>
          <w:rFonts w:ascii="Times New Roman" w:hAnsi="Times New Roman"/>
          <w:sz w:val="28"/>
          <w:szCs w:val="28"/>
        </w:rPr>
        <w:t>З</w:t>
      </w:r>
      <w:r w:rsidRPr="009069D0">
        <w:rPr>
          <w:rFonts w:ascii="Times New Roman" w:hAnsi="Times New Roman"/>
          <w:sz w:val="28"/>
          <w:szCs w:val="28"/>
        </w:rPr>
        <w:t>аконом</w:t>
      </w:r>
      <w:r w:rsidR="00A131D3" w:rsidRPr="009069D0">
        <w:rPr>
          <w:rFonts w:ascii="Times New Roman" w:hAnsi="Times New Roman"/>
          <w:sz w:val="28"/>
          <w:szCs w:val="28"/>
        </w:rPr>
        <w:t xml:space="preserve"> </w:t>
      </w:r>
      <w:r w:rsidR="009E3EF3">
        <w:rPr>
          <w:rFonts w:ascii="Times New Roman" w:hAnsi="Times New Roman"/>
          <w:sz w:val="28"/>
          <w:szCs w:val="28"/>
        </w:rPr>
        <w:t xml:space="preserve">№ </w:t>
      </w:r>
      <w:r w:rsidR="00A131D3" w:rsidRPr="009069D0">
        <w:rPr>
          <w:rFonts w:ascii="Times New Roman" w:hAnsi="Times New Roman"/>
          <w:sz w:val="28"/>
          <w:szCs w:val="28"/>
        </w:rPr>
        <w:t>2262</w:t>
      </w:r>
      <w:r w:rsidRPr="009069D0">
        <w:rPr>
          <w:rFonts w:ascii="Times New Roman" w:hAnsi="Times New Roman"/>
          <w:sz w:val="28"/>
          <w:szCs w:val="28"/>
        </w:rPr>
        <w:t>, призначаються в таких розмірах:</w:t>
      </w:r>
    </w:p>
    <w:p w:rsidR="009E3EF3" w:rsidRDefault="00021C68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lastRenderedPageBreak/>
        <w:t xml:space="preserve">а) особам з інвалідністю внаслідок війни I групи </w:t>
      </w:r>
      <w:r w:rsidR="007E7527" w:rsidRPr="009069D0">
        <w:rPr>
          <w:rFonts w:ascii="Times New Roman" w:hAnsi="Times New Roman"/>
          <w:sz w:val="28"/>
          <w:szCs w:val="28"/>
        </w:rPr>
        <w:t xml:space="preserve">– </w:t>
      </w:r>
      <w:r w:rsidRPr="009069D0">
        <w:rPr>
          <w:rFonts w:ascii="Times New Roman" w:hAnsi="Times New Roman"/>
          <w:sz w:val="28"/>
          <w:szCs w:val="28"/>
        </w:rPr>
        <w:t xml:space="preserve">100 процентів, </w:t>
      </w:r>
      <w:r w:rsidR="003C1858" w:rsidRPr="009069D0">
        <w:rPr>
          <w:rFonts w:ascii="Times New Roman" w:hAnsi="Times New Roman"/>
          <w:sz w:val="28"/>
          <w:szCs w:val="28"/>
        </w:rPr>
        <w:br/>
      </w:r>
      <w:r w:rsidRPr="009069D0">
        <w:rPr>
          <w:rFonts w:ascii="Times New Roman" w:hAnsi="Times New Roman"/>
          <w:sz w:val="28"/>
          <w:szCs w:val="28"/>
        </w:rPr>
        <w:t xml:space="preserve">II групи </w:t>
      </w:r>
      <w:r w:rsidR="007E7527" w:rsidRPr="009069D0">
        <w:rPr>
          <w:rFonts w:ascii="Times New Roman" w:hAnsi="Times New Roman"/>
          <w:sz w:val="28"/>
          <w:szCs w:val="28"/>
        </w:rPr>
        <w:t xml:space="preserve">– </w:t>
      </w:r>
      <w:r w:rsidRPr="009069D0">
        <w:rPr>
          <w:rFonts w:ascii="Times New Roman" w:hAnsi="Times New Roman"/>
          <w:sz w:val="28"/>
          <w:szCs w:val="28"/>
        </w:rPr>
        <w:t xml:space="preserve">80 процентів, III групи </w:t>
      </w:r>
      <w:r w:rsidR="007E7527" w:rsidRPr="009069D0">
        <w:rPr>
          <w:rFonts w:ascii="Times New Roman" w:hAnsi="Times New Roman"/>
          <w:sz w:val="28"/>
          <w:szCs w:val="28"/>
        </w:rPr>
        <w:t xml:space="preserve">– </w:t>
      </w:r>
      <w:r w:rsidRPr="009069D0">
        <w:rPr>
          <w:rFonts w:ascii="Times New Roman" w:hAnsi="Times New Roman"/>
          <w:sz w:val="28"/>
          <w:szCs w:val="28"/>
        </w:rPr>
        <w:t>60 процентів відповідних сум грошового забезпечення (заробітку);</w:t>
      </w:r>
    </w:p>
    <w:p w:rsidR="00021C68" w:rsidRPr="009069D0" w:rsidRDefault="00021C68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t xml:space="preserve">б) іншим особам з інвалідністю I групи </w:t>
      </w:r>
      <w:r w:rsidR="007E7527" w:rsidRPr="009069D0">
        <w:rPr>
          <w:rFonts w:ascii="Times New Roman" w:hAnsi="Times New Roman"/>
          <w:sz w:val="28"/>
          <w:szCs w:val="28"/>
        </w:rPr>
        <w:t xml:space="preserve">– </w:t>
      </w:r>
      <w:r w:rsidRPr="009069D0">
        <w:rPr>
          <w:rFonts w:ascii="Times New Roman" w:hAnsi="Times New Roman"/>
          <w:sz w:val="28"/>
          <w:szCs w:val="28"/>
        </w:rPr>
        <w:t xml:space="preserve">70 процентів, II групи </w:t>
      </w:r>
      <w:r w:rsidR="007E7527" w:rsidRPr="009069D0">
        <w:rPr>
          <w:rFonts w:ascii="Times New Roman" w:hAnsi="Times New Roman"/>
          <w:sz w:val="28"/>
          <w:szCs w:val="28"/>
        </w:rPr>
        <w:t xml:space="preserve">– </w:t>
      </w:r>
      <w:r w:rsidR="003C1858" w:rsidRPr="009069D0">
        <w:rPr>
          <w:rFonts w:ascii="Times New Roman" w:hAnsi="Times New Roman"/>
          <w:sz w:val="28"/>
          <w:szCs w:val="28"/>
        </w:rPr>
        <w:br/>
      </w:r>
      <w:r w:rsidRPr="009069D0">
        <w:rPr>
          <w:rFonts w:ascii="Times New Roman" w:hAnsi="Times New Roman"/>
          <w:sz w:val="28"/>
          <w:szCs w:val="28"/>
        </w:rPr>
        <w:t xml:space="preserve">60 процентів, III групи </w:t>
      </w:r>
      <w:r w:rsidR="007E7527" w:rsidRPr="009069D0">
        <w:rPr>
          <w:rFonts w:ascii="Times New Roman" w:hAnsi="Times New Roman"/>
          <w:sz w:val="28"/>
          <w:szCs w:val="28"/>
        </w:rPr>
        <w:t xml:space="preserve">– </w:t>
      </w:r>
      <w:r w:rsidRPr="009069D0">
        <w:rPr>
          <w:rFonts w:ascii="Times New Roman" w:hAnsi="Times New Roman"/>
          <w:sz w:val="28"/>
          <w:szCs w:val="28"/>
        </w:rPr>
        <w:t>40 процентів відповідних сум грошового забезпечення (заробітку).</w:t>
      </w:r>
    </w:p>
    <w:p w:rsidR="00E419EA" w:rsidRPr="009069D0" w:rsidRDefault="00CE00F1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  <w:lang w:eastAsia="uk-UA"/>
        </w:rPr>
        <w:t>Із</w:t>
      </w:r>
      <w:r w:rsidR="004C7B1F" w:rsidRPr="009069D0">
        <w:rPr>
          <w:rFonts w:ascii="Times New Roman" w:hAnsi="Times New Roman"/>
          <w:sz w:val="28"/>
          <w:szCs w:val="28"/>
          <w:lang w:eastAsia="uk-UA"/>
        </w:rPr>
        <w:t xml:space="preserve"> матеріалів справи вбачається,</w:t>
      </w:r>
      <w:r w:rsidRPr="009069D0">
        <w:rPr>
          <w:rFonts w:ascii="Times New Roman" w:hAnsi="Times New Roman"/>
          <w:sz w:val="28"/>
          <w:szCs w:val="28"/>
          <w:lang w:eastAsia="uk-UA"/>
        </w:rPr>
        <w:t xml:space="preserve"> що</w:t>
      </w:r>
      <w:r w:rsidR="00F056ED" w:rsidRPr="009069D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56ED" w:rsidRPr="009069D0">
        <w:rPr>
          <w:rFonts w:ascii="Times New Roman" w:hAnsi="Times New Roman"/>
          <w:color w:val="auto"/>
          <w:sz w:val="28"/>
          <w:szCs w:val="28"/>
        </w:rPr>
        <w:t xml:space="preserve">Ніколаєнко І.М. </w:t>
      </w:r>
      <w:r w:rsidR="007E7527" w:rsidRPr="009069D0">
        <w:rPr>
          <w:rFonts w:ascii="Times New Roman" w:hAnsi="Times New Roman"/>
          <w:color w:val="auto"/>
          <w:sz w:val="28"/>
          <w:szCs w:val="28"/>
        </w:rPr>
        <w:t xml:space="preserve">належить до осіб, які приєдналися до апеляційної скарги Шабельника Миколи Васильовича на рішення Касаційного адміністративного суду у складі Верховного </w:t>
      </w:r>
      <w:r w:rsidR="003C1858" w:rsidRPr="009069D0">
        <w:rPr>
          <w:rFonts w:ascii="Times New Roman" w:hAnsi="Times New Roman"/>
          <w:color w:val="auto"/>
          <w:sz w:val="28"/>
          <w:szCs w:val="28"/>
        </w:rPr>
        <w:t>С</w:t>
      </w:r>
      <w:r w:rsidR="007E7527" w:rsidRPr="009069D0">
        <w:rPr>
          <w:rFonts w:ascii="Times New Roman" w:hAnsi="Times New Roman"/>
          <w:color w:val="auto"/>
          <w:sz w:val="28"/>
          <w:szCs w:val="28"/>
        </w:rPr>
        <w:t xml:space="preserve">уду від </w:t>
      </w:r>
      <w:r w:rsidR="007E7527" w:rsidRPr="009069D0">
        <w:rPr>
          <w:rFonts w:ascii="Times New Roman" w:hAnsi="Times New Roman"/>
          <w:color w:val="auto"/>
          <w:sz w:val="28"/>
          <w:szCs w:val="28"/>
        </w:rPr>
        <w:br/>
        <w:t xml:space="preserve">20 травня 2020 року у зразковій справі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7E7527" w:rsidRPr="009069D0">
        <w:rPr>
          <w:rFonts w:ascii="Times New Roman" w:hAnsi="Times New Roman"/>
          <w:color w:val="auto"/>
          <w:sz w:val="28"/>
          <w:szCs w:val="28"/>
        </w:rPr>
        <w:t xml:space="preserve">520/12609/19 за позовом </w:t>
      </w:r>
      <w:r w:rsidR="007E7527" w:rsidRPr="009069D0">
        <w:rPr>
          <w:rFonts w:ascii="Times New Roman" w:hAnsi="Times New Roman"/>
          <w:color w:val="auto"/>
          <w:sz w:val="28"/>
          <w:szCs w:val="28"/>
        </w:rPr>
        <w:br/>
        <w:t>Шабельника М.В. до Г</w:t>
      </w:r>
      <w:r w:rsidR="003C1858" w:rsidRPr="009069D0">
        <w:rPr>
          <w:rFonts w:ascii="Times New Roman" w:hAnsi="Times New Roman"/>
          <w:color w:val="auto"/>
          <w:sz w:val="28"/>
          <w:szCs w:val="28"/>
        </w:rPr>
        <w:t>оловного управління Пенсійного ф</w:t>
      </w:r>
      <w:r w:rsidR="007E7527" w:rsidRPr="009069D0">
        <w:rPr>
          <w:rFonts w:ascii="Times New Roman" w:hAnsi="Times New Roman"/>
          <w:color w:val="auto"/>
          <w:sz w:val="28"/>
          <w:szCs w:val="28"/>
        </w:rPr>
        <w:t xml:space="preserve">онду України в Харківській області </w:t>
      </w:r>
      <w:r w:rsidR="007E7527" w:rsidRPr="009069D0">
        <w:rPr>
          <w:rFonts w:ascii="Times New Roman" w:hAnsi="Times New Roman"/>
          <w:sz w:val="28"/>
          <w:szCs w:val="28"/>
        </w:rPr>
        <w:t>про визнання бездіяльності протиправною, зобов’язання вчинити певні дії та стягнення суми</w:t>
      </w:r>
      <w:r w:rsidR="002423C7" w:rsidRPr="009069D0">
        <w:rPr>
          <w:rFonts w:ascii="Times New Roman" w:hAnsi="Times New Roman"/>
          <w:sz w:val="28"/>
          <w:szCs w:val="28"/>
        </w:rPr>
        <w:t xml:space="preserve"> протиправно, на думку Шабельника М.В</w:t>
      </w:r>
      <w:r w:rsidR="007E7527" w:rsidRPr="009069D0">
        <w:rPr>
          <w:rFonts w:ascii="Times New Roman" w:hAnsi="Times New Roman"/>
          <w:sz w:val="28"/>
          <w:szCs w:val="28"/>
        </w:rPr>
        <w:t>.</w:t>
      </w:r>
      <w:r w:rsidR="002423C7" w:rsidRPr="009069D0">
        <w:rPr>
          <w:rFonts w:ascii="Times New Roman" w:hAnsi="Times New Roman"/>
          <w:sz w:val="28"/>
          <w:szCs w:val="28"/>
        </w:rPr>
        <w:t>, несплаченої йому частини пенсії.</w:t>
      </w:r>
    </w:p>
    <w:p w:rsidR="008C7BA8" w:rsidRPr="009069D0" w:rsidRDefault="008C7BA8" w:rsidP="009069D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6939" w:rsidRPr="009069D0" w:rsidRDefault="00B06939" w:rsidP="009069D0">
      <w:pPr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80523E" w:rsidRPr="009069D0" w:rsidRDefault="0080523E" w:rsidP="009069D0">
      <w:pPr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</w:t>
      </w:r>
      <w:r w:rsidR="009069D0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(абзац перший частини першої статті 56); конституційна скарга вважається прийнятною за умов її відповідності вимогам, передбаченим статтями 55, 56 цього закону, та якщо вичерпано всі націон</w:t>
      </w:r>
      <w:r w:rsidR="009069D0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альні засоби юридичного захисту</w:t>
      </w:r>
      <w:r w:rsidR="009069D0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(за наявності ухваленого в порядку апеляційного перегляду судового рішення, яке набрало законної сили, а в разі передбаченої законом можливості касаційного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lastRenderedPageBreak/>
        <w:t>оскарження – судового рішення, винесеного в порядку касаційного перегляду) (абзац перший, пункт 1 частини першої статті 77).</w:t>
      </w:r>
    </w:p>
    <w:p w:rsidR="009E3EF3" w:rsidRDefault="00A53F5C" w:rsidP="009069D0">
      <w:pPr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Із аналізу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конституційної скарги 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та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долучених до неї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матеріалів вбачається, що </w:t>
      </w:r>
      <w:r w:rsidR="000947E2" w:rsidRPr="009069D0">
        <w:rPr>
          <w:rFonts w:ascii="Times New Roman" w:hAnsi="Times New Roman"/>
          <w:color w:val="auto"/>
          <w:sz w:val="28"/>
          <w:szCs w:val="28"/>
        </w:rPr>
        <w:t>Ніколаєнко І.М.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 дотримав вимог пунктів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3, 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4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частини другої статті 55 Закону України „Про Конституційний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Суд України“, оскільки постанова Великої </w:t>
      </w:r>
      <w:r w:rsidR="009069D0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П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алати Верховного Суду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від 21 квітня 2021 року, на яку автор клопотання посилається як на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остаточне судове рішення у його справі, прийнята у справі за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позовом Шабельника М.В. до Головного управління Пенсійного фонду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України в Харківській області про визнання бездіяльності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протиправною, зобов’язання вчинити певні дії та стягнення суми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несплаченої йому частини пенсії.</w:t>
      </w:r>
    </w:p>
    <w:p w:rsidR="006B4E3E" w:rsidRPr="009069D0" w:rsidRDefault="00FE7224" w:rsidP="009069D0">
      <w:pPr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Д</w:t>
      </w:r>
      <w:r w:rsidR="007C7E71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о конституційної ск</w:t>
      </w:r>
      <w:r w:rsidR="003C1858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арги не додано матеріалів, які</w:t>
      </w:r>
      <w:r w:rsidR="007C7E71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41394B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містили б інформацію про перебіг розгляду справи </w:t>
      </w:r>
      <w:r w:rsidR="0041394B" w:rsidRPr="009069D0">
        <w:rPr>
          <w:rFonts w:ascii="Times New Roman" w:hAnsi="Times New Roman"/>
          <w:color w:val="auto"/>
          <w:sz w:val="28"/>
          <w:szCs w:val="28"/>
        </w:rPr>
        <w:t>про</w:t>
      </w:r>
      <w:r w:rsidR="0041394B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відмову в перерахунку пенсії </w:t>
      </w:r>
      <w:r w:rsidR="0041394B" w:rsidRPr="009069D0">
        <w:rPr>
          <w:rFonts w:ascii="Times New Roman" w:hAnsi="Times New Roman"/>
          <w:color w:val="auto"/>
          <w:sz w:val="28"/>
          <w:szCs w:val="28"/>
        </w:rPr>
        <w:t xml:space="preserve">Ніколаєнку І.М. </w:t>
      </w:r>
      <w:r w:rsidR="0041394B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у судах, </w:t>
      </w:r>
      <w:r w:rsidR="00BE150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зокрема</w:t>
      </w:r>
      <w:r w:rsidR="00EB2D1A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відомості</w:t>
      </w:r>
      <w:r w:rsidR="00A53F5C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, що він вичерпав усі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A53F5C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національні засоби юридичного захисту у своїй справі</w:t>
      </w:r>
      <w:r w:rsidR="006B4E3E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. </w:t>
      </w:r>
      <w:r w:rsidR="006B4E3E" w:rsidRPr="009069D0">
        <w:rPr>
          <w:rFonts w:ascii="Times New Roman" w:eastAsia="Calibri" w:hAnsi="Times New Roman"/>
          <w:sz w:val="28"/>
          <w:szCs w:val="28"/>
          <w:lang w:eastAsia="uk-UA"/>
        </w:rPr>
        <w:t>Таким чином, конституційна скарга</w:t>
      </w:r>
      <w:r w:rsidR="006B4E3E" w:rsidRPr="009069D0">
        <w:rPr>
          <w:rFonts w:ascii="Times New Roman" w:hAnsi="Times New Roman"/>
          <w:color w:val="auto"/>
          <w:sz w:val="28"/>
          <w:szCs w:val="28"/>
        </w:rPr>
        <w:t xml:space="preserve"> Ніколаєнка І.М.</w:t>
      </w:r>
      <w:r w:rsidR="006B4E3E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6B4E3E" w:rsidRPr="009069D0">
        <w:rPr>
          <w:rFonts w:ascii="Times New Roman" w:eastAsia="Calibri" w:hAnsi="Times New Roman"/>
          <w:sz w:val="28"/>
          <w:szCs w:val="28"/>
          <w:lang w:eastAsia="uk-UA"/>
        </w:rPr>
        <w:t xml:space="preserve">не відповідає </w:t>
      </w:r>
      <w:r w:rsidR="006B4E3E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вимогам пункту 1 </w:t>
      </w:r>
      <w:r w:rsidR="006B4E3E" w:rsidRPr="009069D0">
        <w:rPr>
          <w:rFonts w:ascii="Times New Roman" w:eastAsia="Calibri" w:hAnsi="Times New Roman"/>
          <w:bCs/>
          <w:color w:val="auto"/>
          <w:sz w:val="28"/>
          <w:szCs w:val="28"/>
          <w:lang w:eastAsia="uk-UA"/>
        </w:rPr>
        <w:t>частини першої статті 77</w:t>
      </w:r>
      <w:r w:rsidR="006B4E3E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Закону України „Про Конституційний Суд України“.</w:t>
      </w:r>
    </w:p>
    <w:p w:rsidR="00A53F5C" w:rsidRPr="009069D0" w:rsidRDefault="00A53F5C" w:rsidP="009069D0">
      <w:pPr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Отже, є </w:t>
      </w:r>
      <w:r w:rsidR="00FE7224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підстави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для відмови у відкритті конституційного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провадження </w:t>
      </w:r>
      <w:r w:rsidR="00DA2981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у справі згідно з пункта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м</w:t>
      </w:r>
      <w:r w:rsidR="00DA2981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и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="00DA2981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1,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4 статті 62 Закону України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„Про Конституційний Суд України“ – </w:t>
      </w:r>
      <w:r w:rsidR="00DA2981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звернення до суду неналежним суб’єктом;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неприйнятність</w:t>
      </w:r>
      <w:r w:rsidR="009E3EF3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конституційної</w:t>
      </w:r>
      <w:r w:rsidR="000947E2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</w:t>
      </w:r>
      <w:r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>скарги.</w:t>
      </w:r>
    </w:p>
    <w:p w:rsidR="009069D0" w:rsidRPr="009069D0" w:rsidRDefault="009069D0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2008F" w:rsidRPr="009069D0" w:rsidRDefault="0062008F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069D0">
        <w:rPr>
          <w:rFonts w:ascii="Times New Roman" w:hAnsi="Times New Roman"/>
          <w:sz w:val="28"/>
          <w:szCs w:val="28"/>
          <w:lang w:eastAsia="uk-UA"/>
        </w:rPr>
        <w:t>Враховуючи викладене та керуючись статтями 147, 151</w:t>
      </w:r>
      <w:r w:rsidRPr="009069D0">
        <w:rPr>
          <w:rFonts w:ascii="Times New Roman" w:hAnsi="Times New Roman"/>
          <w:sz w:val="28"/>
          <w:szCs w:val="28"/>
          <w:vertAlign w:val="superscript"/>
          <w:lang w:eastAsia="uk-UA"/>
        </w:rPr>
        <w:t>1</w:t>
      </w:r>
      <w:r w:rsidRPr="009069D0">
        <w:rPr>
          <w:rFonts w:ascii="Times New Roman" w:hAnsi="Times New Roman"/>
          <w:sz w:val="28"/>
          <w:szCs w:val="28"/>
          <w:lang w:eastAsia="uk-UA"/>
        </w:rPr>
        <w:t>, 153 Конституції України, на підставі статей 7, 32, 37, 55, 56, 62, 77, 86 Закону України „Про Конституційний Суд України“ та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62008F" w:rsidRPr="009069D0" w:rsidRDefault="0062008F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2008F" w:rsidRPr="009069D0" w:rsidRDefault="0062008F" w:rsidP="009069D0">
      <w:pPr>
        <w:spacing w:line="348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069D0">
        <w:rPr>
          <w:rFonts w:ascii="Times New Roman" w:hAnsi="Times New Roman"/>
          <w:b/>
          <w:sz w:val="28"/>
          <w:szCs w:val="28"/>
          <w:lang w:eastAsia="uk-UA"/>
        </w:rPr>
        <w:t>у х в а л и л а:</w:t>
      </w:r>
    </w:p>
    <w:p w:rsidR="0062008F" w:rsidRPr="009069D0" w:rsidRDefault="0062008F" w:rsidP="009069D0">
      <w:pPr>
        <w:spacing w:line="348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62008F" w:rsidRPr="009069D0" w:rsidRDefault="0062008F" w:rsidP="009069D0">
      <w:pPr>
        <w:spacing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069D0"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0947E2" w:rsidRPr="009069D0">
        <w:rPr>
          <w:rFonts w:ascii="Times New Roman" w:hAnsi="Times New Roman"/>
          <w:color w:val="auto"/>
          <w:sz w:val="28"/>
          <w:szCs w:val="28"/>
        </w:rPr>
        <w:t>Ніколаєнка Івана Михайловича</w:t>
      </w:r>
      <w:r w:rsidRPr="009069D0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 </w:t>
      </w:r>
      <w:r w:rsidR="000947E2" w:rsidRPr="009069D0">
        <w:rPr>
          <w:rFonts w:ascii="Times New Roman" w:hAnsi="Times New Roman"/>
          <w:color w:val="auto"/>
          <w:sz w:val="28"/>
          <w:szCs w:val="28"/>
        </w:rPr>
        <w:t xml:space="preserve">частини третьої статті 59 Закону України „Про статус і соціальний захист громадян, які постраждали внаслідок Чорнобильської катастрофи“ від 28 лютого 1991 року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0947E2" w:rsidRPr="009069D0">
        <w:rPr>
          <w:rFonts w:ascii="Times New Roman" w:hAnsi="Times New Roman"/>
          <w:color w:val="auto"/>
          <w:sz w:val="28"/>
          <w:szCs w:val="28"/>
        </w:rPr>
        <w:t xml:space="preserve">796–ХІІ зі змінами, статей 11, 21 Закону України „Про пенсійне забезпечення осіб, звільнених з військової служби, та деяких інших осіб“ від 9 квітня 1992 року </w:t>
      </w:r>
      <w:r w:rsidR="009E3EF3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0947E2" w:rsidRPr="009069D0">
        <w:rPr>
          <w:rFonts w:ascii="Times New Roman" w:hAnsi="Times New Roman"/>
          <w:color w:val="auto"/>
          <w:sz w:val="28"/>
          <w:szCs w:val="28"/>
        </w:rPr>
        <w:t xml:space="preserve">2262–ХІІ зі змінами </w:t>
      </w:r>
      <w:r w:rsidR="00DA2981" w:rsidRPr="009069D0">
        <w:rPr>
          <w:rFonts w:ascii="Times New Roman" w:hAnsi="Times New Roman"/>
          <w:bCs/>
          <w:sz w:val="28"/>
          <w:szCs w:val="28"/>
        </w:rPr>
        <w:t xml:space="preserve">на підставі пунктів 1, </w:t>
      </w:r>
      <w:r w:rsidRPr="009069D0">
        <w:rPr>
          <w:rFonts w:ascii="Times New Roman" w:hAnsi="Times New Roman"/>
          <w:bCs/>
          <w:sz w:val="28"/>
          <w:szCs w:val="28"/>
        </w:rPr>
        <w:t>4 статті 62 Закону України „Про Конституційний Суд України“ –</w:t>
      </w:r>
      <w:r w:rsidR="00212853" w:rsidRPr="009069D0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звернення до суду неналежним суб’єктом;</w:t>
      </w:r>
      <w:r w:rsidR="00640D04" w:rsidRPr="009069D0">
        <w:rPr>
          <w:rFonts w:ascii="Times New Roman" w:hAnsi="Times New Roman"/>
          <w:bCs/>
          <w:sz w:val="28"/>
          <w:szCs w:val="28"/>
        </w:rPr>
        <w:t xml:space="preserve"> </w:t>
      </w:r>
      <w:r w:rsidRPr="009069D0">
        <w:rPr>
          <w:rFonts w:ascii="Times New Roman" w:hAnsi="Times New Roman"/>
          <w:bCs/>
          <w:sz w:val="28"/>
          <w:szCs w:val="28"/>
        </w:rPr>
        <w:t>неприйнятність конституційної скарги.</w:t>
      </w:r>
    </w:p>
    <w:p w:rsidR="009069D0" w:rsidRPr="009069D0" w:rsidRDefault="009069D0" w:rsidP="009069D0">
      <w:pPr>
        <w:spacing w:line="34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66048" w:rsidRPr="009069D0" w:rsidRDefault="00066048" w:rsidP="009069D0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069D0">
        <w:rPr>
          <w:rFonts w:ascii="Times New Roman" w:hAnsi="Times New Roman"/>
          <w:sz w:val="28"/>
          <w:szCs w:val="28"/>
          <w:lang w:eastAsia="uk-UA"/>
        </w:rPr>
        <w:t>2. Ухвала Першої колегії суддів Другого сенату Конституційного Суду України є остаточною.</w:t>
      </w:r>
    </w:p>
    <w:p w:rsidR="009069D0" w:rsidRPr="009069D0" w:rsidRDefault="009069D0" w:rsidP="009069D0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069D0" w:rsidRDefault="009069D0" w:rsidP="009069D0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9069D0" w:rsidRDefault="009069D0" w:rsidP="009069D0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92372" w:rsidRDefault="00B92372" w:rsidP="009069D0">
      <w:pPr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92372" w:rsidRPr="00B92372" w:rsidRDefault="00B92372" w:rsidP="00B92372">
      <w:pPr>
        <w:ind w:left="3545"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 w:rsidRPr="00B92372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B92372" w:rsidRPr="00B92372" w:rsidRDefault="00B92372" w:rsidP="00B92372">
      <w:pPr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B92372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B92372" w:rsidRPr="00B92372" w:rsidRDefault="00B92372" w:rsidP="00B92372">
      <w:pPr>
        <w:ind w:left="3545"/>
        <w:jc w:val="center"/>
        <w:rPr>
          <w:rFonts w:ascii="Times New Roman" w:hAnsi="Times New Roman"/>
          <w:b/>
          <w:caps/>
          <w:sz w:val="28"/>
          <w:szCs w:val="28"/>
        </w:rPr>
      </w:pPr>
      <w:r w:rsidRPr="00B92372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B92372" w:rsidRPr="00B92372" w:rsidSect="009069D0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9A" w:rsidRDefault="004D2A9A" w:rsidP="009657BF">
      <w:r>
        <w:separator/>
      </w:r>
    </w:p>
  </w:endnote>
  <w:endnote w:type="continuationSeparator" w:id="0">
    <w:p w:rsidR="004D2A9A" w:rsidRDefault="004D2A9A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7C" w:rsidRPr="00895BE5" w:rsidRDefault="008F757C">
    <w:pPr>
      <w:pStyle w:val="a6"/>
      <w:rPr>
        <w:rFonts w:ascii="Times New Roman" w:hAnsi="Times New Roman"/>
        <w:sz w:val="10"/>
        <w:szCs w:val="10"/>
      </w:rPr>
    </w:pPr>
    <w:r w:rsidRPr="00895BE5">
      <w:rPr>
        <w:rFonts w:ascii="Times New Roman" w:hAnsi="Times New Roman"/>
        <w:sz w:val="10"/>
        <w:szCs w:val="10"/>
      </w:rPr>
      <w:fldChar w:fldCharType="begin"/>
    </w:r>
    <w:r w:rsidRPr="00895BE5">
      <w:rPr>
        <w:rFonts w:ascii="Times New Roman" w:hAnsi="Times New Roman"/>
        <w:sz w:val="10"/>
        <w:szCs w:val="10"/>
      </w:rPr>
      <w:instrText xml:space="preserve"> FILENAME \p </w:instrText>
    </w:r>
    <w:r w:rsidRPr="00895BE5">
      <w:rPr>
        <w:rFonts w:ascii="Times New Roman" w:hAnsi="Times New Roman"/>
        <w:sz w:val="10"/>
        <w:szCs w:val="10"/>
      </w:rPr>
      <w:fldChar w:fldCharType="separate"/>
    </w:r>
    <w:r w:rsidR="00EB2D1A">
      <w:rPr>
        <w:rFonts w:ascii="Times New Roman" w:hAnsi="Times New Roman"/>
        <w:noProof/>
        <w:sz w:val="10"/>
        <w:szCs w:val="10"/>
      </w:rPr>
      <w:t>G:\2021\Suddi\II senat\I koleg\21.docx</w:t>
    </w:r>
    <w:r w:rsidRPr="00895BE5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D0" w:rsidRPr="009069D0" w:rsidRDefault="009069D0">
    <w:pPr>
      <w:pStyle w:val="a6"/>
      <w:rPr>
        <w:rFonts w:ascii="Times New Roman" w:hAnsi="Times New Roman"/>
        <w:sz w:val="10"/>
        <w:szCs w:val="10"/>
      </w:rPr>
    </w:pPr>
    <w:r w:rsidRPr="009069D0">
      <w:rPr>
        <w:rFonts w:ascii="Times New Roman" w:hAnsi="Times New Roman"/>
        <w:sz w:val="10"/>
        <w:szCs w:val="10"/>
      </w:rPr>
      <w:fldChar w:fldCharType="begin"/>
    </w:r>
    <w:r w:rsidRPr="009069D0">
      <w:rPr>
        <w:rFonts w:ascii="Times New Roman" w:hAnsi="Times New Roman"/>
        <w:sz w:val="10"/>
        <w:szCs w:val="10"/>
      </w:rPr>
      <w:instrText xml:space="preserve"> FILENAME \p \* MERGEFORMAT </w:instrText>
    </w:r>
    <w:r w:rsidRPr="009069D0">
      <w:rPr>
        <w:rFonts w:ascii="Times New Roman" w:hAnsi="Times New Roman"/>
        <w:sz w:val="10"/>
        <w:szCs w:val="10"/>
      </w:rPr>
      <w:fldChar w:fldCharType="separate"/>
    </w:r>
    <w:r w:rsidR="00EB2D1A">
      <w:rPr>
        <w:rFonts w:ascii="Times New Roman" w:hAnsi="Times New Roman"/>
        <w:noProof/>
        <w:sz w:val="10"/>
        <w:szCs w:val="10"/>
      </w:rPr>
      <w:t>G:\2021\Suddi\II senat\I koleg\21.docx</w:t>
    </w:r>
    <w:r w:rsidRPr="009069D0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9A" w:rsidRDefault="004D2A9A" w:rsidP="009657BF">
      <w:r>
        <w:separator/>
      </w:r>
    </w:p>
  </w:footnote>
  <w:footnote w:type="continuationSeparator" w:id="0">
    <w:p w:rsidR="004D2A9A" w:rsidRDefault="004D2A9A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7C" w:rsidRPr="009657BF" w:rsidRDefault="008F757C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9E3EF3" w:rsidRPr="009E3EF3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11606"/>
    <w:rsid w:val="00012C50"/>
    <w:rsid w:val="00016851"/>
    <w:rsid w:val="00016CBC"/>
    <w:rsid w:val="00016D0F"/>
    <w:rsid w:val="00020077"/>
    <w:rsid w:val="00021C68"/>
    <w:rsid w:val="00026B96"/>
    <w:rsid w:val="00032196"/>
    <w:rsid w:val="00032A95"/>
    <w:rsid w:val="000335AD"/>
    <w:rsid w:val="0003502B"/>
    <w:rsid w:val="000353D3"/>
    <w:rsid w:val="00037ECD"/>
    <w:rsid w:val="00040910"/>
    <w:rsid w:val="00041128"/>
    <w:rsid w:val="00042BA1"/>
    <w:rsid w:val="0004757A"/>
    <w:rsid w:val="00047C87"/>
    <w:rsid w:val="00051738"/>
    <w:rsid w:val="00051B9E"/>
    <w:rsid w:val="00053FEC"/>
    <w:rsid w:val="00057E10"/>
    <w:rsid w:val="000610E1"/>
    <w:rsid w:val="0006162C"/>
    <w:rsid w:val="00065555"/>
    <w:rsid w:val="00066048"/>
    <w:rsid w:val="000704F5"/>
    <w:rsid w:val="0007061D"/>
    <w:rsid w:val="0007151B"/>
    <w:rsid w:val="00082A85"/>
    <w:rsid w:val="00082F4B"/>
    <w:rsid w:val="00083027"/>
    <w:rsid w:val="000868A1"/>
    <w:rsid w:val="000934B0"/>
    <w:rsid w:val="000942EF"/>
    <w:rsid w:val="000947E2"/>
    <w:rsid w:val="00094818"/>
    <w:rsid w:val="0009677B"/>
    <w:rsid w:val="000A40C8"/>
    <w:rsid w:val="000A7537"/>
    <w:rsid w:val="000B208B"/>
    <w:rsid w:val="000B3F0F"/>
    <w:rsid w:val="000C0135"/>
    <w:rsid w:val="000C163B"/>
    <w:rsid w:val="000C4F90"/>
    <w:rsid w:val="000C5539"/>
    <w:rsid w:val="000D2D46"/>
    <w:rsid w:val="000D407A"/>
    <w:rsid w:val="000D42FC"/>
    <w:rsid w:val="000D45E4"/>
    <w:rsid w:val="000D5B17"/>
    <w:rsid w:val="000D731A"/>
    <w:rsid w:val="00113B14"/>
    <w:rsid w:val="001145AD"/>
    <w:rsid w:val="00116114"/>
    <w:rsid w:val="00126863"/>
    <w:rsid w:val="00131CBA"/>
    <w:rsid w:val="001341F2"/>
    <w:rsid w:val="00142FD6"/>
    <w:rsid w:val="001455C1"/>
    <w:rsid w:val="00146447"/>
    <w:rsid w:val="001516D1"/>
    <w:rsid w:val="0015351F"/>
    <w:rsid w:val="001624C8"/>
    <w:rsid w:val="0016353B"/>
    <w:rsid w:val="00165603"/>
    <w:rsid w:val="001702C3"/>
    <w:rsid w:val="001737F5"/>
    <w:rsid w:val="00176887"/>
    <w:rsid w:val="00183AF8"/>
    <w:rsid w:val="001864FE"/>
    <w:rsid w:val="00190290"/>
    <w:rsid w:val="0019747B"/>
    <w:rsid w:val="001A25C0"/>
    <w:rsid w:val="001A29F5"/>
    <w:rsid w:val="001A2B05"/>
    <w:rsid w:val="001A2D17"/>
    <w:rsid w:val="001A4626"/>
    <w:rsid w:val="001A5E76"/>
    <w:rsid w:val="001A6B7B"/>
    <w:rsid w:val="001B6084"/>
    <w:rsid w:val="001B6127"/>
    <w:rsid w:val="001C0710"/>
    <w:rsid w:val="001C14FE"/>
    <w:rsid w:val="001C4538"/>
    <w:rsid w:val="001D14C2"/>
    <w:rsid w:val="001D43E8"/>
    <w:rsid w:val="001D478B"/>
    <w:rsid w:val="001D5737"/>
    <w:rsid w:val="001D595F"/>
    <w:rsid w:val="001E0E42"/>
    <w:rsid w:val="001E2C21"/>
    <w:rsid w:val="001E4829"/>
    <w:rsid w:val="001F0791"/>
    <w:rsid w:val="001F1F2E"/>
    <w:rsid w:val="001F611E"/>
    <w:rsid w:val="001F6287"/>
    <w:rsid w:val="0020195B"/>
    <w:rsid w:val="00205745"/>
    <w:rsid w:val="00206477"/>
    <w:rsid w:val="00212853"/>
    <w:rsid w:val="00215FCC"/>
    <w:rsid w:val="00216EAF"/>
    <w:rsid w:val="00220612"/>
    <w:rsid w:val="002224CC"/>
    <w:rsid w:val="00224E64"/>
    <w:rsid w:val="00226653"/>
    <w:rsid w:val="00227F13"/>
    <w:rsid w:val="002423C7"/>
    <w:rsid w:val="00244EBB"/>
    <w:rsid w:val="00245E8B"/>
    <w:rsid w:val="002526C4"/>
    <w:rsid w:val="002544EF"/>
    <w:rsid w:val="00255270"/>
    <w:rsid w:val="00257291"/>
    <w:rsid w:val="00257437"/>
    <w:rsid w:val="00260824"/>
    <w:rsid w:val="00262403"/>
    <w:rsid w:val="00270B72"/>
    <w:rsid w:val="00284219"/>
    <w:rsid w:val="0029195B"/>
    <w:rsid w:val="002A35E4"/>
    <w:rsid w:val="002A42AC"/>
    <w:rsid w:val="002A7594"/>
    <w:rsid w:val="002B35ED"/>
    <w:rsid w:val="002B40C8"/>
    <w:rsid w:val="002B6553"/>
    <w:rsid w:val="002B68A2"/>
    <w:rsid w:val="002C0392"/>
    <w:rsid w:val="002C4F44"/>
    <w:rsid w:val="002C570B"/>
    <w:rsid w:val="002C6CBC"/>
    <w:rsid w:val="002F60D3"/>
    <w:rsid w:val="002F677F"/>
    <w:rsid w:val="003005E2"/>
    <w:rsid w:val="00315404"/>
    <w:rsid w:val="003157B7"/>
    <w:rsid w:val="00320075"/>
    <w:rsid w:val="0032161B"/>
    <w:rsid w:val="00322C68"/>
    <w:rsid w:val="00325312"/>
    <w:rsid w:val="00325A1B"/>
    <w:rsid w:val="00325B09"/>
    <w:rsid w:val="00331046"/>
    <w:rsid w:val="00331114"/>
    <w:rsid w:val="00337785"/>
    <w:rsid w:val="0034206D"/>
    <w:rsid w:val="00342734"/>
    <w:rsid w:val="00344CD9"/>
    <w:rsid w:val="00346F2E"/>
    <w:rsid w:val="00355340"/>
    <w:rsid w:val="00357A40"/>
    <w:rsid w:val="00357B46"/>
    <w:rsid w:val="00357F3B"/>
    <w:rsid w:val="00360C5D"/>
    <w:rsid w:val="00362DA2"/>
    <w:rsid w:val="0036371D"/>
    <w:rsid w:val="00364ED2"/>
    <w:rsid w:val="00365DDA"/>
    <w:rsid w:val="00370ACF"/>
    <w:rsid w:val="00370EBC"/>
    <w:rsid w:val="003779E5"/>
    <w:rsid w:val="0038292D"/>
    <w:rsid w:val="00386CA8"/>
    <w:rsid w:val="0039108A"/>
    <w:rsid w:val="0039318A"/>
    <w:rsid w:val="003940E0"/>
    <w:rsid w:val="003959E3"/>
    <w:rsid w:val="003A64A1"/>
    <w:rsid w:val="003A6911"/>
    <w:rsid w:val="003B6C25"/>
    <w:rsid w:val="003C1858"/>
    <w:rsid w:val="003D0113"/>
    <w:rsid w:val="003D0E52"/>
    <w:rsid w:val="003D20CB"/>
    <w:rsid w:val="003E20E6"/>
    <w:rsid w:val="003E3C5F"/>
    <w:rsid w:val="003E66DA"/>
    <w:rsid w:val="003F07C6"/>
    <w:rsid w:val="003F2B0C"/>
    <w:rsid w:val="00407E67"/>
    <w:rsid w:val="0041394B"/>
    <w:rsid w:val="00414F2A"/>
    <w:rsid w:val="00415935"/>
    <w:rsid w:val="004252C8"/>
    <w:rsid w:val="00426545"/>
    <w:rsid w:val="00430D22"/>
    <w:rsid w:val="00431784"/>
    <w:rsid w:val="00450B26"/>
    <w:rsid w:val="00452A7E"/>
    <w:rsid w:val="00455E38"/>
    <w:rsid w:val="00456393"/>
    <w:rsid w:val="00463E3E"/>
    <w:rsid w:val="00471846"/>
    <w:rsid w:val="004725EE"/>
    <w:rsid w:val="004805CD"/>
    <w:rsid w:val="004816EF"/>
    <w:rsid w:val="00481FC1"/>
    <w:rsid w:val="004A055D"/>
    <w:rsid w:val="004A3EE7"/>
    <w:rsid w:val="004B2396"/>
    <w:rsid w:val="004B4C9B"/>
    <w:rsid w:val="004C05F5"/>
    <w:rsid w:val="004C14C8"/>
    <w:rsid w:val="004C7B1F"/>
    <w:rsid w:val="004D01BD"/>
    <w:rsid w:val="004D2A9A"/>
    <w:rsid w:val="004D2C3E"/>
    <w:rsid w:val="004D3E4C"/>
    <w:rsid w:val="004E10CB"/>
    <w:rsid w:val="004E5347"/>
    <w:rsid w:val="004F4496"/>
    <w:rsid w:val="004F6047"/>
    <w:rsid w:val="00503C77"/>
    <w:rsid w:val="00506D11"/>
    <w:rsid w:val="00514AA1"/>
    <w:rsid w:val="00515B5C"/>
    <w:rsid w:val="005209C1"/>
    <w:rsid w:val="005274A1"/>
    <w:rsid w:val="0053565D"/>
    <w:rsid w:val="005375B9"/>
    <w:rsid w:val="00541E52"/>
    <w:rsid w:val="00542895"/>
    <w:rsid w:val="00545852"/>
    <w:rsid w:val="00546D88"/>
    <w:rsid w:val="00562026"/>
    <w:rsid w:val="00563A53"/>
    <w:rsid w:val="00563D5F"/>
    <w:rsid w:val="00565DDF"/>
    <w:rsid w:val="00566774"/>
    <w:rsid w:val="005709F7"/>
    <w:rsid w:val="005739BB"/>
    <w:rsid w:val="005755B0"/>
    <w:rsid w:val="005804E4"/>
    <w:rsid w:val="00581689"/>
    <w:rsid w:val="00584C8C"/>
    <w:rsid w:val="0058698B"/>
    <w:rsid w:val="00587C99"/>
    <w:rsid w:val="005908D1"/>
    <w:rsid w:val="00591250"/>
    <w:rsid w:val="005938E0"/>
    <w:rsid w:val="00596E48"/>
    <w:rsid w:val="00597E07"/>
    <w:rsid w:val="005A0ADF"/>
    <w:rsid w:val="005A1F37"/>
    <w:rsid w:val="005B2565"/>
    <w:rsid w:val="005B4CE2"/>
    <w:rsid w:val="005C44F6"/>
    <w:rsid w:val="005C4B45"/>
    <w:rsid w:val="005C61D6"/>
    <w:rsid w:val="005D489D"/>
    <w:rsid w:val="005D6576"/>
    <w:rsid w:val="005E0E73"/>
    <w:rsid w:val="005E41E5"/>
    <w:rsid w:val="005E6494"/>
    <w:rsid w:val="005F3165"/>
    <w:rsid w:val="005F377C"/>
    <w:rsid w:val="005F5289"/>
    <w:rsid w:val="005F6C63"/>
    <w:rsid w:val="00606148"/>
    <w:rsid w:val="00606A65"/>
    <w:rsid w:val="00611F53"/>
    <w:rsid w:val="00612490"/>
    <w:rsid w:val="00613FF0"/>
    <w:rsid w:val="0061700D"/>
    <w:rsid w:val="00617651"/>
    <w:rsid w:val="0062008F"/>
    <w:rsid w:val="006225FA"/>
    <w:rsid w:val="006243F4"/>
    <w:rsid w:val="00627900"/>
    <w:rsid w:val="006335F3"/>
    <w:rsid w:val="006376EE"/>
    <w:rsid w:val="00640D04"/>
    <w:rsid w:val="0064319E"/>
    <w:rsid w:val="00643C3B"/>
    <w:rsid w:val="00644DC6"/>
    <w:rsid w:val="00651F33"/>
    <w:rsid w:val="0065416C"/>
    <w:rsid w:val="00660D8B"/>
    <w:rsid w:val="00671068"/>
    <w:rsid w:val="00672108"/>
    <w:rsid w:val="006827D4"/>
    <w:rsid w:val="0068287F"/>
    <w:rsid w:val="00687205"/>
    <w:rsid w:val="00692892"/>
    <w:rsid w:val="00693804"/>
    <w:rsid w:val="006A0B09"/>
    <w:rsid w:val="006A2C01"/>
    <w:rsid w:val="006A2C92"/>
    <w:rsid w:val="006A315D"/>
    <w:rsid w:val="006A34CF"/>
    <w:rsid w:val="006A5319"/>
    <w:rsid w:val="006A582E"/>
    <w:rsid w:val="006A694C"/>
    <w:rsid w:val="006B0730"/>
    <w:rsid w:val="006B0CD9"/>
    <w:rsid w:val="006B0DC8"/>
    <w:rsid w:val="006B4E3E"/>
    <w:rsid w:val="006B5D64"/>
    <w:rsid w:val="006B72E7"/>
    <w:rsid w:val="006C089E"/>
    <w:rsid w:val="006C2E82"/>
    <w:rsid w:val="006D3A83"/>
    <w:rsid w:val="006D41A2"/>
    <w:rsid w:val="006E0AC4"/>
    <w:rsid w:val="006E14AF"/>
    <w:rsid w:val="006E7A14"/>
    <w:rsid w:val="006F2B73"/>
    <w:rsid w:val="006F71AF"/>
    <w:rsid w:val="006F7739"/>
    <w:rsid w:val="006F78D3"/>
    <w:rsid w:val="00712198"/>
    <w:rsid w:val="007122C9"/>
    <w:rsid w:val="0071396F"/>
    <w:rsid w:val="00720D63"/>
    <w:rsid w:val="007226FC"/>
    <w:rsid w:val="007239FF"/>
    <w:rsid w:val="0072706B"/>
    <w:rsid w:val="00727531"/>
    <w:rsid w:val="00730859"/>
    <w:rsid w:val="00735E43"/>
    <w:rsid w:val="00760360"/>
    <w:rsid w:val="00764C15"/>
    <w:rsid w:val="00764CDC"/>
    <w:rsid w:val="00764D34"/>
    <w:rsid w:val="007654EF"/>
    <w:rsid w:val="007655BC"/>
    <w:rsid w:val="00765CD5"/>
    <w:rsid w:val="00766610"/>
    <w:rsid w:val="00766BE8"/>
    <w:rsid w:val="00771579"/>
    <w:rsid w:val="00773632"/>
    <w:rsid w:val="0077444E"/>
    <w:rsid w:val="00774A5B"/>
    <w:rsid w:val="007765A2"/>
    <w:rsid w:val="007770D8"/>
    <w:rsid w:val="007774E1"/>
    <w:rsid w:val="00790067"/>
    <w:rsid w:val="0079065F"/>
    <w:rsid w:val="00791286"/>
    <w:rsid w:val="0079420E"/>
    <w:rsid w:val="007A0C15"/>
    <w:rsid w:val="007A6095"/>
    <w:rsid w:val="007B33F5"/>
    <w:rsid w:val="007B4C1D"/>
    <w:rsid w:val="007B5439"/>
    <w:rsid w:val="007B5C61"/>
    <w:rsid w:val="007C6348"/>
    <w:rsid w:val="007C7E71"/>
    <w:rsid w:val="007D28D1"/>
    <w:rsid w:val="007D2FBB"/>
    <w:rsid w:val="007D3988"/>
    <w:rsid w:val="007D5BA9"/>
    <w:rsid w:val="007E10E8"/>
    <w:rsid w:val="007E4EEE"/>
    <w:rsid w:val="007E731E"/>
    <w:rsid w:val="007E7527"/>
    <w:rsid w:val="007F3223"/>
    <w:rsid w:val="007F6493"/>
    <w:rsid w:val="00803A69"/>
    <w:rsid w:val="0080523E"/>
    <w:rsid w:val="00806804"/>
    <w:rsid w:val="00810F08"/>
    <w:rsid w:val="0081360D"/>
    <w:rsid w:val="00831005"/>
    <w:rsid w:val="00833D8D"/>
    <w:rsid w:val="00835CD4"/>
    <w:rsid w:val="00850B9F"/>
    <w:rsid w:val="00850E15"/>
    <w:rsid w:val="00854A4F"/>
    <w:rsid w:val="00854D37"/>
    <w:rsid w:val="00855BE5"/>
    <w:rsid w:val="00865E2A"/>
    <w:rsid w:val="00866E9D"/>
    <w:rsid w:val="00867031"/>
    <w:rsid w:val="00872624"/>
    <w:rsid w:val="00874D17"/>
    <w:rsid w:val="008759B5"/>
    <w:rsid w:val="008813FD"/>
    <w:rsid w:val="00883F7A"/>
    <w:rsid w:val="00884E57"/>
    <w:rsid w:val="008875CE"/>
    <w:rsid w:val="008904D2"/>
    <w:rsid w:val="00890971"/>
    <w:rsid w:val="008909BD"/>
    <w:rsid w:val="00891BD8"/>
    <w:rsid w:val="00892FDD"/>
    <w:rsid w:val="00895BE5"/>
    <w:rsid w:val="00897E49"/>
    <w:rsid w:val="008A0D72"/>
    <w:rsid w:val="008A141A"/>
    <w:rsid w:val="008A3E6D"/>
    <w:rsid w:val="008A7F6C"/>
    <w:rsid w:val="008B2B58"/>
    <w:rsid w:val="008B2B8E"/>
    <w:rsid w:val="008B4488"/>
    <w:rsid w:val="008C0BAE"/>
    <w:rsid w:val="008C1BBB"/>
    <w:rsid w:val="008C4E17"/>
    <w:rsid w:val="008C7BA8"/>
    <w:rsid w:val="008D21B1"/>
    <w:rsid w:val="008E04FC"/>
    <w:rsid w:val="008E4822"/>
    <w:rsid w:val="008E731D"/>
    <w:rsid w:val="008F143D"/>
    <w:rsid w:val="008F6108"/>
    <w:rsid w:val="008F6C5E"/>
    <w:rsid w:val="008F757C"/>
    <w:rsid w:val="00905E4D"/>
    <w:rsid w:val="009069D0"/>
    <w:rsid w:val="00911164"/>
    <w:rsid w:val="00912B50"/>
    <w:rsid w:val="00915108"/>
    <w:rsid w:val="00915F78"/>
    <w:rsid w:val="0092110A"/>
    <w:rsid w:val="00921FFB"/>
    <w:rsid w:val="00927D79"/>
    <w:rsid w:val="0093160A"/>
    <w:rsid w:val="0093172F"/>
    <w:rsid w:val="0093292F"/>
    <w:rsid w:val="00934F0B"/>
    <w:rsid w:val="00936D8E"/>
    <w:rsid w:val="00941E9C"/>
    <w:rsid w:val="00947FC9"/>
    <w:rsid w:val="009528AF"/>
    <w:rsid w:val="00961701"/>
    <w:rsid w:val="00961D1E"/>
    <w:rsid w:val="00963312"/>
    <w:rsid w:val="009657BF"/>
    <w:rsid w:val="00966D09"/>
    <w:rsid w:val="00980315"/>
    <w:rsid w:val="009816DE"/>
    <w:rsid w:val="00982146"/>
    <w:rsid w:val="00983DD4"/>
    <w:rsid w:val="009857CC"/>
    <w:rsid w:val="009861EE"/>
    <w:rsid w:val="00986B3A"/>
    <w:rsid w:val="00993549"/>
    <w:rsid w:val="00993DED"/>
    <w:rsid w:val="00994A30"/>
    <w:rsid w:val="00995C4D"/>
    <w:rsid w:val="009A078C"/>
    <w:rsid w:val="009A13D3"/>
    <w:rsid w:val="009A2AD0"/>
    <w:rsid w:val="009B0B11"/>
    <w:rsid w:val="009B29FE"/>
    <w:rsid w:val="009B5493"/>
    <w:rsid w:val="009B698E"/>
    <w:rsid w:val="009B7802"/>
    <w:rsid w:val="009C360B"/>
    <w:rsid w:val="009C5B01"/>
    <w:rsid w:val="009C730B"/>
    <w:rsid w:val="009D5438"/>
    <w:rsid w:val="009D5EB5"/>
    <w:rsid w:val="009D6C14"/>
    <w:rsid w:val="009E0F39"/>
    <w:rsid w:val="009E3EF3"/>
    <w:rsid w:val="009E4060"/>
    <w:rsid w:val="009E6BD2"/>
    <w:rsid w:val="009E7ED8"/>
    <w:rsid w:val="009F5A36"/>
    <w:rsid w:val="00A021E0"/>
    <w:rsid w:val="00A131D3"/>
    <w:rsid w:val="00A22C67"/>
    <w:rsid w:val="00A251AE"/>
    <w:rsid w:val="00A309D9"/>
    <w:rsid w:val="00A4186E"/>
    <w:rsid w:val="00A445EB"/>
    <w:rsid w:val="00A50E8E"/>
    <w:rsid w:val="00A52349"/>
    <w:rsid w:val="00A53F5C"/>
    <w:rsid w:val="00A566AB"/>
    <w:rsid w:val="00A56722"/>
    <w:rsid w:val="00A57113"/>
    <w:rsid w:val="00A62D69"/>
    <w:rsid w:val="00A633FA"/>
    <w:rsid w:val="00A672B6"/>
    <w:rsid w:val="00A67ED6"/>
    <w:rsid w:val="00A70538"/>
    <w:rsid w:val="00A75D7B"/>
    <w:rsid w:val="00A76329"/>
    <w:rsid w:val="00A839C1"/>
    <w:rsid w:val="00A866FE"/>
    <w:rsid w:val="00A8727B"/>
    <w:rsid w:val="00A879AB"/>
    <w:rsid w:val="00A9373C"/>
    <w:rsid w:val="00A95991"/>
    <w:rsid w:val="00A97035"/>
    <w:rsid w:val="00AA02FE"/>
    <w:rsid w:val="00AA5FAE"/>
    <w:rsid w:val="00AA69BF"/>
    <w:rsid w:val="00AA70FD"/>
    <w:rsid w:val="00AA7986"/>
    <w:rsid w:val="00AB161F"/>
    <w:rsid w:val="00AB62BF"/>
    <w:rsid w:val="00AB6E48"/>
    <w:rsid w:val="00AB77E8"/>
    <w:rsid w:val="00AC434D"/>
    <w:rsid w:val="00AC58B7"/>
    <w:rsid w:val="00AD02BF"/>
    <w:rsid w:val="00AD5D5A"/>
    <w:rsid w:val="00AD7EC1"/>
    <w:rsid w:val="00AE076B"/>
    <w:rsid w:val="00AE162A"/>
    <w:rsid w:val="00AE1FA9"/>
    <w:rsid w:val="00AE2C6C"/>
    <w:rsid w:val="00AE72D5"/>
    <w:rsid w:val="00AF04BE"/>
    <w:rsid w:val="00AF0B43"/>
    <w:rsid w:val="00B00613"/>
    <w:rsid w:val="00B00BFE"/>
    <w:rsid w:val="00B03800"/>
    <w:rsid w:val="00B0392C"/>
    <w:rsid w:val="00B04A05"/>
    <w:rsid w:val="00B051B6"/>
    <w:rsid w:val="00B05A29"/>
    <w:rsid w:val="00B06939"/>
    <w:rsid w:val="00B14D10"/>
    <w:rsid w:val="00B1580F"/>
    <w:rsid w:val="00B21C5B"/>
    <w:rsid w:val="00B220E9"/>
    <w:rsid w:val="00B222A5"/>
    <w:rsid w:val="00B223E3"/>
    <w:rsid w:val="00B24B7E"/>
    <w:rsid w:val="00B36295"/>
    <w:rsid w:val="00B363C5"/>
    <w:rsid w:val="00B36EC6"/>
    <w:rsid w:val="00B41610"/>
    <w:rsid w:val="00B43B2D"/>
    <w:rsid w:val="00B443E2"/>
    <w:rsid w:val="00B443FB"/>
    <w:rsid w:val="00B449B8"/>
    <w:rsid w:val="00B47114"/>
    <w:rsid w:val="00B47E29"/>
    <w:rsid w:val="00B50817"/>
    <w:rsid w:val="00B50D6B"/>
    <w:rsid w:val="00B611E0"/>
    <w:rsid w:val="00B63E9D"/>
    <w:rsid w:val="00B641D7"/>
    <w:rsid w:val="00B654E9"/>
    <w:rsid w:val="00B6727F"/>
    <w:rsid w:val="00B72243"/>
    <w:rsid w:val="00B7608F"/>
    <w:rsid w:val="00B82383"/>
    <w:rsid w:val="00B828C9"/>
    <w:rsid w:val="00B869C6"/>
    <w:rsid w:val="00B905C5"/>
    <w:rsid w:val="00B92372"/>
    <w:rsid w:val="00B92E15"/>
    <w:rsid w:val="00B96C12"/>
    <w:rsid w:val="00B9733B"/>
    <w:rsid w:val="00BA0963"/>
    <w:rsid w:val="00BA0C0D"/>
    <w:rsid w:val="00BA1DB7"/>
    <w:rsid w:val="00BA5DB7"/>
    <w:rsid w:val="00BB6DF5"/>
    <w:rsid w:val="00BB79C5"/>
    <w:rsid w:val="00BC7D14"/>
    <w:rsid w:val="00BE1502"/>
    <w:rsid w:val="00BE1A39"/>
    <w:rsid w:val="00BE3B63"/>
    <w:rsid w:val="00BF2CE9"/>
    <w:rsid w:val="00BF2FCF"/>
    <w:rsid w:val="00BF5804"/>
    <w:rsid w:val="00C029BB"/>
    <w:rsid w:val="00C1325D"/>
    <w:rsid w:val="00C17D63"/>
    <w:rsid w:val="00C237D3"/>
    <w:rsid w:val="00C23900"/>
    <w:rsid w:val="00C3762A"/>
    <w:rsid w:val="00C3769B"/>
    <w:rsid w:val="00C37C75"/>
    <w:rsid w:val="00C401E9"/>
    <w:rsid w:val="00C4434E"/>
    <w:rsid w:val="00C50C10"/>
    <w:rsid w:val="00C530A5"/>
    <w:rsid w:val="00C71BCF"/>
    <w:rsid w:val="00C72EE9"/>
    <w:rsid w:val="00C77B5B"/>
    <w:rsid w:val="00C80B31"/>
    <w:rsid w:val="00C81C1C"/>
    <w:rsid w:val="00C8492E"/>
    <w:rsid w:val="00C94F47"/>
    <w:rsid w:val="00C9712E"/>
    <w:rsid w:val="00CA092F"/>
    <w:rsid w:val="00CA1BB0"/>
    <w:rsid w:val="00CA2A95"/>
    <w:rsid w:val="00CA3A6F"/>
    <w:rsid w:val="00CA477E"/>
    <w:rsid w:val="00CA62E4"/>
    <w:rsid w:val="00CB5D69"/>
    <w:rsid w:val="00CB79C5"/>
    <w:rsid w:val="00CC313E"/>
    <w:rsid w:val="00CC6E5B"/>
    <w:rsid w:val="00CD1EC6"/>
    <w:rsid w:val="00CD6023"/>
    <w:rsid w:val="00CE00F1"/>
    <w:rsid w:val="00CE0315"/>
    <w:rsid w:val="00CE5E0F"/>
    <w:rsid w:val="00CE6EAB"/>
    <w:rsid w:val="00CE7366"/>
    <w:rsid w:val="00CF10F5"/>
    <w:rsid w:val="00CF4004"/>
    <w:rsid w:val="00CF5CE2"/>
    <w:rsid w:val="00D00825"/>
    <w:rsid w:val="00D034EA"/>
    <w:rsid w:val="00D05035"/>
    <w:rsid w:val="00D12BAE"/>
    <w:rsid w:val="00D20E1B"/>
    <w:rsid w:val="00D21D77"/>
    <w:rsid w:val="00D23E56"/>
    <w:rsid w:val="00D256E6"/>
    <w:rsid w:val="00D315F9"/>
    <w:rsid w:val="00D3288F"/>
    <w:rsid w:val="00D34242"/>
    <w:rsid w:val="00D35F43"/>
    <w:rsid w:val="00D36A2E"/>
    <w:rsid w:val="00D41773"/>
    <w:rsid w:val="00D41B27"/>
    <w:rsid w:val="00D436E0"/>
    <w:rsid w:val="00D43DE7"/>
    <w:rsid w:val="00D46D4F"/>
    <w:rsid w:val="00D52607"/>
    <w:rsid w:val="00D5269F"/>
    <w:rsid w:val="00D54C7B"/>
    <w:rsid w:val="00D6060A"/>
    <w:rsid w:val="00D61F4B"/>
    <w:rsid w:val="00D7392C"/>
    <w:rsid w:val="00D752AB"/>
    <w:rsid w:val="00D76326"/>
    <w:rsid w:val="00D800C8"/>
    <w:rsid w:val="00D80C9A"/>
    <w:rsid w:val="00D83947"/>
    <w:rsid w:val="00D848C8"/>
    <w:rsid w:val="00D85209"/>
    <w:rsid w:val="00D86557"/>
    <w:rsid w:val="00D9038B"/>
    <w:rsid w:val="00D905B0"/>
    <w:rsid w:val="00D9674C"/>
    <w:rsid w:val="00DA2981"/>
    <w:rsid w:val="00DA32ED"/>
    <w:rsid w:val="00DB4CBC"/>
    <w:rsid w:val="00DC76FA"/>
    <w:rsid w:val="00DD0DC8"/>
    <w:rsid w:val="00DD179C"/>
    <w:rsid w:val="00DE032E"/>
    <w:rsid w:val="00DE1090"/>
    <w:rsid w:val="00DE2809"/>
    <w:rsid w:val="00DE633A"/>
    <w:rsid w:val="00DE6FDA"/>
    <w:rsid w:val="00DE7727"/>
    <w:rsid w:val="00DF60CB"/>
    <w:rsid w:val="00DF65AB"/>
    <w:rsid w:val="00E01BC0"/>
    <w:rsid w:val="00E05FDF"/>
    <w:rsid w:val="00E133A9"/>
    <w:rsid w:val="00E1388D"/>
    <w:rsid w:val="00E16817"/>
    <w:rsid w:val="00E30E75"/>
    <w:rsid w:val="00E31455"/>
    <w:rsid w:val="00E33A0D"/>
    <w:rsid w:val="00E4070C"/>
    <w:rsid w:val="00E419EA"/>
    <w:rsid w:val="00E45082"/>
    <w:rsid w:val="00E471F6"/>
    <w:rsid w:val="00E47569"/>
    <w:rsid w:val="00E51325"/>
    <w:rsid w:val="00E52A4A"/>
    <w:rsid w:val="00E57EA9"/>
    <w:rsid w:val="00E60EB0"/>
    <w:rsid w:val="00E61487"/>
    <w:rsid w:val="00E61769"/>
    <w:rsid w:val="00E71C25"/>
    <w:rsid w:val="00E76BAC"/>
    <w:rsid w:val="00E9115C"/>
    <w:rsid w:val="00E92C27"/>
    <w:rsid w:val="00E931AF"/>
    <w:rsid w:val="00EA0312"/>
    <w:rsid w:val="00EA546D"/>
    <w:rsid w:val="00EB1B48"/>
    <w:rsid w:val="00EB2D1A"/>
    <w:rsid w:val="00EB6207"/>
    <w:rsid w:val="00EC0778"/>
    <w:rsid w:val="00EC1E0F"/>
    <w:rsid w:val="00ED2263"/>
    <w:rsid w:val="00ED715E"/>
    <w:rsid w:val="00EE37BD"/>
    <w:rsid w:val="00EE72EA"/>
    <w:rsid w:val="00EF2C8F"/>
    <w:rsid w:val="00EF6D68"/>
    <w:rsid w:val="00F00495"/>
    <w:rsid w:val="00F020DD"/>
    <w:rsid w:val="00F028D4"/>
    <w:rsid w:val="00F0376D"/>
    <w:rsid w:val="00F056ED"/>
    <w:rsid w:val="00F06B41"/>
    <w:rsid w:val="00F10E8A"/>
    <w:rsid w:val="00F12D4F"/>
    <w:rsid w:val="00F12FA5"/>
    <w:rsid w:val="00F144F0"/>
    <w:rsid w:val="00F145AE"/>
    <w:rsid w:val="00F15A04"/>
    <w:rsid w:val="00F169E3"/>
    <w:rsid w:val="00F24F7C"/>
    <w:rsid w:val="00F26ECC"/>
    <w:rsid w:val="00F3120E"/>
    <w:rsid w:val="00F32C14"/>
    <w:rsid w:val="00F33BED"/>
    <w:rsid w:val="00F37E4B"/>
    <w:rsid w:val="00F47893"/>
    <w:rsid w:val="00F574BF"/>
    <w:rsid w:val="00F601F8"/>
    <w:rsid w:val="00F60E38"/>
    <w:rsid w:val="00F66A68"/>
    <w:rsid w:val="00F67E09"/>
    <w:rsid w:val="00F70D66"/>
    <w:rsid w:val="00F7226E"/>
    <w:rsid w:val="00F76021"/>
    <w:rsid w:val="00F764A4"/>
    <w:rsid w:val="00F776F8"/>
    <w:rsid w:val="00F820C5"/>
    <w:rsid w:val="00F869DF"/>
    <w:rsid w:val="00F903FF"/>
    <w:rsid w:val="00F90EF8"/>
    <w:rsid w:val="00F9137A"/>
    <w:rsid w:val="00F91700"/>
    <w:rsid w:val="00F931EE"/>
    <w:rsid w:val="00FA1CB5"/>
    <w:rsid w:val="00FA58F7"/>
    <w:rsid w:val="00FB12FC"/>
    <w:rsid w:val="00FB39A9"/>
    <w:rsid w:val="00FC16C5"/>
    <w:rsid w:val="00FC51A2"/>
    <w:rsid w:val="00FC729E"/>
    <w:rsid w:val="00FC7E6F"/>
    <w:rsid w:val="00FD1919"/>
    <w:rsid w:val="00FD4B79"/>
    <w:rsid w:val="00FD6574"/>
    <w:rsid w:val="00FE419D"/>
    <w:rsid w:val="00FE69DB"/>
    <w:rsid w:val="00FE7224"/>
    <w:rsid w:val="00FE794C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EBCE4-E9D3-4581-9DB5-5AAFFA03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styleId="ae">
    <w:name w:val="List Paragraph"/>
    <w:basedOn w:val="a"/>
    <w:uiPriority w:val="34"/>
    <w:qFormat/>
    <w:rsid w:val="0090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4885</Words>
  <Characters>2786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УХВАЛА</vt:lpstr>
      <vt:lpstr>УХВАЛА</vt:lpstr>
    </vt:vector>
  </TitlesOfParts>
  <Company>Microsoft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УХВАЛА</dc:title>
  <dc:subject/>
  <dc:creator>Валентина М. Поліщук</dc:creator>
  <cp:keywords/>
  <cp:lastModifiedBy>Віктор В. Чередниченко</cp:lastModifiedBy>
  <cp:revision>2</cp:revision>
  <cp:lastPrinted>2021-09-16T08:49:00Z</cp:lastPrinted>
  <dcterms:created xsi:type="dcterms:W3CDTF">2023-08-30T07:17:00Z</dcterms:created>
  <dcterms:modified xsi:type="dcterms:W3CDTF">2023-08-30T07:17:00Z</dcterms:modified>
</cp:coreProperties>
</file>