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A06D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FC48C16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C45E13C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2C0BD9A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B49F7F6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EEEDE75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1454F6D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A577CE5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225BE3A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3B48F11" w14:textId="77777777" w:rsidR="004846AF" w:rsidRDefault="004846AF" w:rsidP="004846A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3E6ED0E" w14:textId="306919FD" w:rsidR="00680D03" w:rsidRPr="004846AF" w:rsidRDefault="001506D3" w:rsidP="004846A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4846AF">
        <w:rPr>
          <w:rFonts w:cs="Times New Roman"/>
          <w:b/>
          <w:szCs w:val="28"/>
        </w:rPr>
        <w:t>п</w:t>
      </w:r>
      <w:r w:rsidR="00680D03" w:rsidRPr="004846AF">
        <w:rPr>
          <w:rFonts w:cs="Times New Roman"/>
          <w:b/>
          <w:szCs w:val="28"/>
        </w:rPr>
        <w:t xml:space="preserve">ро </w:t>
      </w:r>
      <w:r w:rsidR="00411C37" w:rsidRPr="004846AF">
        <w:rPr>
          <w:rFonts w:cs="Times New Roman"/>
          <w:b/>
          <w:szCs w:val="28"/>
        </w:rPr>
        <w:t>відмову у відкритті конституційного провадження</w:t>
      </w:r>
      <w:r w:rsidR="00007B93" w:rsidRPr="004846AF">
        <w:rPr>
          <w:rFonts w:cs="Times New Roman"/>
          <w:b/>
          <w:szCs w:val="28"/>
        </w:rPr>
        <w:t xml:space="preserve"> у справі </w:t>
      </w:r>
      <w:r w:rsidR="00680D03" w:rsidRPr="004846AF">
        <w:rPr>
          <w:rFonts w:cs="Times New Roman"/>
          <w:b/>
          <w:szCs w:val="28"/>
        </w:rPr>
        <w:t xml:space="preserve">за конституційною скаргою </w:t>
      </w:r>
      <w:r w:rsidR="002F7B26" w:rsidRPr="004846AF">
        <w:rPr>
          <w:rFonts w:cs="Times New Roman"/>
          <w:b/>
          <w:szCs w:val="28"/>
        </w:rPr>
        <w:t>Алексенка Павла Олексійовича</w:t>
      </w:r>
      <w:r w:rsidR="00F73F8D" w:rsidRPr="004846AF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</w:t>
      </w:r>
      <w:r w:rsidR="004846AF">
        <w:rPr>
          <w:rFonts w:cs="Times New Roman"/>
          <w:b/>
          <w:szCs w:val="28"/>
        </w:rPr>
        <w:br/>
      </w:r>
      <w:r w:rsidR="004846AF" w:rsidRPr="004846AF">
        <w:rPr>
          <w:rFonts w:cs="Times New Roman"/>
          <w:b/>
          <w:szCs w:val="28"/>
        </w:rPr>
        <w:tab/>
      </w:r>
      <w:r w:rsidR="004846AF">
        <w:rPr>
          <w:rFonts w:cs="Times New Roman"/>
          <w:b/>
          <w:szCs w:val="28"/>
        </w:rPr>
        <w:tab/>
      </w:r>
      <w:r w:rsidR="00F73F8D" w:rsidRPr="004846AF">
        <w:rPr>
          <w:rFonts w:cs="Times New Roman"/>
          <w:b/>
          <w:szCs w:val="28"/>
        </w:rPr>
        <w:t xml:space="preserve">військової </w:t>
      </w:r>
      <w:r w:rsidR="00EF618C" w:rsidRPr="004846AF">
        <w:rPr>
          <w:rFonts w:cs="Times New Roman"/>
          <w:b/>
          <w:szCs w:val="28"/>
        </w:rPr>
        <w:tab/>
      </w:r>
      <w:r w:rsidR="00F73F8D" w:rsidRPr="004846AF">
        <w:rPr>
          <w:rFonts w:cs="Times New Roman"/>
          <w:b/>
          <w:szCs w:val="28"/>
        </w:rPr>
        <w:t>служби, та деяких інших осіб“</w:t>
      </w:r>
    </w:p>
    <w:p w14:paraId="61C4CD32" w14:textId="4A7E333C" w:rsidR="00C85EB1" w:rsidRDefault="00C85EB1" w:rsidP="004846AF">
      <w:pPr>
        <w:spacing w:after="0" w:line="240" w:lineRule="auto"/>
        <w:jc w:val="both"/>
        <w:rPr>
          <w:rFonts w:cs="Times New Roman"/>
          <w:szCs w:val="28"/>
        </w:rPr>
      </w:pPr>
    </w:p>
    <w:p w14:paraId="66806E38" w14:textId="77777777" w:rsidR="004846AF" w:rsidRPr="004846AF" w:rsidRDefault="004846AF" w:rsidP="004846AF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2AA64526" w:rsidR="00680D03" w:rsidRPr="004846AF" w:rsidRDefault="00680D03" w:rsidP="004846AF">
      <w:pPr>
        <w:spacing w:after="0" w:line="240" w:lineRule="auto"/>
        <w:rPr>
          <w:rFonts w:cs="Times New Roman"/>
          <w:szCs w:val="28"/>
        </w:rPr>
      </w:pPr>
      <w:r w:rsidRPr="004846AF">
        <w:rPr>
          <w:rFonts w:cs="Times New Roman"/>
          <w:szCs w:val="28"/>
        </w:rPr>
        <w:t xml:space="preserve">м. К и ї в </w:t>
      </w:r>
      <w:r w:rsidRPr="004846AF">
        <w:rPr>
          <w:rFonts w:cs="Times New Roman"/>
          <w:szCs w:val="28"/>
        </w:rPr>
        <w:tab/>
      </w:r>
      <w:r w:rsidRPr="004846AF">
        <w:rPr>
          <w:rFonts w:cs="Times New Roman"/>
          <w:szCs w:val="28"/>
        </w:rPr>
        <w:tab/>
      </w:r>
      <w:r w:rsidRPr="004846AF">
        <w:rPr>
          <w:rFonts w:cs="Times New Roman"/>
          <w:szCs w:val="28"/>
        </w:rPr>
        <w:tab/>
      </w:r>
      <w:r w:rsidRPr="004846AF">
        <w:rPr>
          <w:rFonts w:cs="Times New Roman"/>
          <w:szCs w:val="28"/>
        </w:rPr>
        <w:tab/>
      </w:r>
      <w:r w:rsidRPr="004846AF">
        <w:rPr>
          <w:rFonts w:cs="Times New Roman"/>
          <w:szCs w:val="28"/>
        </w:rPr>
        <w:tab/>
      </w:r>
      <w:r w:rsidRPr="004846AF">
        <w:rPr>
          <w:rFonts w:cs="Times New Roman"/>
          <w:szCs w:val="28"/>
        </w:rPr>
        <w:tab/>
        <w:t xml:space="preserve">Справа </w:t>
      </w:r>
      <w:r w:rsidR="007A34E4">
        <w:rPr>
          <w:rFonts w:cs="Times New Roman"/>
          <w:szCs w:val="28"/>
        </w:rPr>
        <w:t xml:space="preserve">№ </w:t>
      </w:r>
      <w:r w:rsidRPr="004846AF">
        <w:rPr>
          <w:rFonts w:cs="Times New Roman"/>
          <w:szCs w:val="28"/>
        </w:rPr>
        <w:t>3-</w:t>
      </w:r>
      <w:r w:rsidR="00373F41" w:rsidRPr="004846AF">
        <w:rPr>
          <w:rFonts w:cs="Times New Roman"/>
          <w:szCs w:val="28"/>
        </w:rPr>
        <w:t>1</w:t>
      </w:r>
      <w:r w:rsidR="00F53073" w:rsidRPr="004846AF">
        <w:rPr>
          <w:rFonts w:cs="Times New Roman"/>
          <w:szCs w:val="28"/>
        </w:rPr>
        <w:t>36</w:t>
      </w:r>
      <w:r w:rsidR="00484FFB" w:rsidRPr="004846AF">
        <w:rPr>
          <w:rFonts w:cs="Times New Roman"/>
          <w:szCs w:val="28"/>
        </w:rPr>
        <w:t>/202</w:t>
      </w:r>
      <w:r w:rsidR="00606EED" w:rsidRPr="004846AF">
        <w:rPr>
          <w:rFonts w:cs="Times New Roman"/>
          <w:szCs w:val="28"/>
        </w:rPr>
        <w:t>1</w:t>
      </w:r>
      <w:r w:rsidR="00484FFB" w:rsidRPr="004846AF">
        <w:rPr>
          <w:rFonts w:cs="Times New Roman"/>
          <w:szCs w:val="28"/>
        </w:rPr>
        <w:t>(</w:t>
      </w:r>
      <w:r w:rsidR="00F73F8D" w:rsidRPr="004846AF">
        <w:rPr>
          <w:rFonts w:cs="Times New Roman"/>
          <w:szCs w:val="28"/>
        </w:rPr>
        <w:t>3</w:t>
      </w:r>
      <w:r w:rsidR="00F53073" w:rsidRPr="004846AF">
        <w:rPr>
          <w:rFonts w:cs="Times New Roman"/>
          <w:szCs w:val="28"/>
        </w:rPr>
        <w:t>05</w:t>
      </w:r>
      <w:r w:rsidRPr="004846AF">
        <w:rPr>
          <w:rFonts w:cs="Times New Roman"/>
          <w:szCs w:val="28"/>
        </w:rPr>
        <w:t>/2</w:t>
      </w:r>
      <w:r w:rsidR="00606EED" w:rsidRPr="004846AF">
        <w:rPr>
          <w:rFonts w:cs="Times New Roman"/>
          <w:szCs w:val="28"/>
        </w:rPr>
        <w:t>1</w:t>
      </w:r>
      <w:r w:rsidRPr="004846AF">
        <w:rPr>
          <w:rFonts w:cs="Times New Roman"/>
          <w:szCs w:val="28"/>
        </w:rPr>
        <w:t>)</w:t>
      </w:r>
    </w:p>
    <w:p w14:paraId="7F1684AE" w14:textId="5967F726" w:rsidR="00680D03" w:rsidRPr="004846AF" w:rsidRDefault="006A6E16" w:rsidP="004846AF">
      <w:pPr>
        <w:spacing w:after="0" w:line="240" w:lineRule="auto"/>
        <w:rPr>
          <w:rFonts w:cs="Times New Roman"/>
          <w:szCs w:val="28"/>
        </w:rPr>
      </w:pPr>
      <w:r w:rsidRPr="004846AF">
        <w:rPr>
          <w:rFonts w:cs="Times New Roman"/>
          <w:szCs w:val="28"/>
        </w:rPr>
        <w:t xml:space="preserve">17 </w:t>
      </w:r>
      <w:r w:rsidR="00411C37" w:rsidRPr="004846AF">
        <w:rPr>
          <w:rFonts w:cs="Times New Roman"/>
          <w:szCs w:val="28"/>
        </w:rPr>
        <w:t>жовтня</w:t>
      </w:r>
      <w:r w:rsidR="00F50858" w:rsidRPr="004846AF">
        <w:rPr>
          <w:rFonts w:cs="Times New Roman"/>
          <w:szCs w:val="28"/>
        </w:rPr>
        <w:t xml:space="preserve"> </w:t>
      </w:r>
      <w:r w:rsidR="00680D03" w:rsidRPr="004846AF">
        <w:rPr>
          <w:rFonts w:cs="Times New Roman"/>
          <w:szCs w:val="28"/>
        </w:rPr>
        <w:t>202</w:t>
      </w:r>
      <w:r w:rsidR="00DB0FDA" w:rsidRPr="004846AF">
        <w:rPr>
          <w:rFonts w:cs="Times New Roman"/>
          <w:szCs w:val="28"/>
        </w:rPr>
        <w:t>2</w:t>
      </w:r>
      <w:r w:rsidR="00680D03" w:rsidRPr="004846AF">
        <w:rPr>
          <w:rFonts w:cs="Times New Roman"/>
          <w:szCs w:val="28"/>
        </w:rPr>
        <w:t xml:space="preserve"> року</w:t>
      </w:r>
    </w:p>
    <w:p w14:paraId="1DED0FA8" w14:textId="656C6C60" w:rsidR="00680D03" w:rsidRPr="004846AF" w:rsidRDefault="007A34E4" w:rsidP="004846A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6A6E16" w:rsidRPr="004846AF">
        <w:rPr>
          <w:rFonts w:cs="Times New Roman"/>
          <w:szCs w:val="28"/>
        </w:rPr>
        <w:t>135</w:t>
      </w:r>
      <w:r w:rsidR="00411C37" w:rsidRPr="004846AF">
        <w:rPr>
          <w:rFonts w:cs="Times New Roman"/>
          <w:szCs w:val="28"/>
        </w:rPr>
        <w:t>-3(ІІ)</w:t>
      </w:r>
      <w:bookmarkEnd w:id="0"/>
      <w:r w:rsidR="00411C37" w:rsidRPr="004846AF">
        <w:rPr>
          <w:rFonts w:cs="Times New Roman"/>
          <w:szCs w:val="28"/>
        </w:rPr>
        <w:t>/2022</w:t>
      </w:r>
    </w:p>
    <w:p w14:paraId="285939A4" w14:textId="38EAFDF9" w:rsidR="000D29D7" w:rsidRDefault="000D29D7" w:rsidP="004846AF">
      <w:pPr>
        <w:spacing w:after="0" w:line="240" w:lineRule="auto"/>
        <w:jc w:val="both"/>
        <w:rPr>
          <w:rFonts w:cs="Times New Roman"/>
          <w:szCs w:val="28"/>
        </w:rPr>
      </w:pPr>
    </w:p>
    <w:p w14:paraId="2A1DFACC" w14:textId="77777777" w:rsidR="004846AF" w:rsidRPr="004846AF" w:rsidRDefault="004846AF" w:rsidP="004846AF">
      <w:pPr>
        <w:spacing w:after="0" w:line="240" w:lineRule="auto"/>
        <w:jc w:val="both"/>
        <w:rPr>
          <w:rFonts w:cs="Times New Roman"/>
          <w:szCs w:val="28"/>
        </w:rPr>
      </w:pPr>
    </w:p>
    <w:p w14:paraId="4FD3D702" w14:textId="77777777" w:rsidR="00411C37" w:rsidRPr="004846AF" w:rsidRDefault="00411C37" w:rsidP="004846AF">
      <w:pPr>
        <w:spacing w:after="0" w:line="240" w:lineRule="auto"/>
        <w:ind w:firstLine="709"/>
        <w:jc w:val="both"/>
        <w:rPr>
          <w:rFonts w:eastAsiaTheme="minorHAnsi" w:cs="Times New Roman"/>
          <w:szCs w:val="28"/>
        </w:rPr>
      </w:pPr>
      <w:r w:rsidRPr="004846AF">
        <w:rPr>
          <w:rFonts w:eastAsiaTheme="minorHAnsi" w:cs="Times New Roman"/>
          <w:szCs w:val="28"/>
        </w:rPr>
        <w:t>Третя колегія суддів Другого сенату Конституційного Суду України</w:t>
      </w:r>
      <w:r w:rsidRPr="004846AF">
        <w:rPr>
          <w:rFonts w:eastAsiaTheme="minorHAnsi" w:cs="Times New Roman"/>
          <w:szCs w:val="28"/>
        </w:rPr>
        <w:br/>
        <w:t>у складі:</w:t>
      </w:r>
    </w:p>
    <w:p w14:paraId="0CEC40AB" w14:textId="77777777" w:rsidR="00411C37" w:rsidRPr="004846AF" w:rsidRDefault="00411C37" w:rsidP="004846AF">
      <w:pPr>
        <w:spacing w:after="0" w:line="240" w:lineRule="auto"/>
        <w:ind w:firstLine="709"/>
        <w:rPr>
          <w:rFonts w:eastAsia="Arial Unicode MS" w:cs="Times New Roman"/>
          <w:szCs w:val="28"/>
          <w:lang w:eastAsia="uk-UA"/>
        </w:rPr>
      </w:pPr>
    </w:p>
    <w:p w14:paraId="5E79AAE6" w14:textId="77783928" w:rsidR="00411C37" w:rsidRPr="004846AF" w:rsidRDefault="00411C37" w:rsidP="004846AF">
      <w:pPr>
        <w:spacing w:after="0" w:line="240" w:lineRule="auto"/>
        <w:ind w:firstLine="709"/>
        <w:rPr>
          <w:rFonts w:eastAsia="Arial Unicode MS" w:cs="Times New Roman"/>
          <w:szCs w:val="28"/>
          <w:lang w:eastAsia="uk-UA"/>
        </w:rPr>
      </w:pPr>
      <w:r w:rsidRPr="004846AF">
        <w:rPr>
          <w:rFonts w:eastAsia="Arial Unicode MS" w:cs="Times New Roman"/>
          <w:szCs w:val="28"/>
          <w:lang w:eastAsia="uk-UA"/>
        </w:rPr>
        <w:t>Первомайський Олег Олексійович (</w:t>
      </w:r>
      <w:r w:rsidRPr="004846AF">
        <w:rPr>
          <w:rFonts w:eastAsia="Arial Unicode MS" w:cs="Times New Roman"/>
          <w:color w:val="000000"/>
          <w:szCs w:val="28"/>
          <w:lang w:eastAsia="uk-UA"/>
        </w:rPr>
        <w:t>голова засідання, доповідач)</w:t>
      </w:r>
      <w:r w:rsidRPr="004846AF">
        <w:rPr>
          <w:rFonts w:eastAsia="Arial Unicode MS" w:cs="Times New Roman"/>
          <w:szCs w:val="28"/>
          <w:lang w:eastAsia="uk-UA"/>
        </w:rPr>
        <w:t>,</w:t>
      </w:r>
    </w:p>
    <w:p w14:paraId="1C9980BD" w14:textId="77777777" w:rsidR="007A34E4" w:rsidRDefault="00411C37" w:rsidP="004846AF">
      <w:pPr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4846AF">
        <w:rPr>
          <w:rFonts w:eastAsia="Arial Unicode MS" w:cs="Times New Roman"/>
          <w:color w:val="000000"/>
          <w:szCs w:val="28"/>
          <w:lang w:eastAsia="uk-UA"/>
        </w:rPr>
        <w:t>Головатий Сергій Петрович,</w:t>
      </w:r>
    </w:p>
    <w:p w14:paraId="58F308FF" w14:textId="71CB3ABE" w:rsidR="00411C37" w:rsidRPr="004846AF" w:rsidRDefault="00411C37" w:rsidP="004846AF">
      <w:pPr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4846AF">
        <w:rPr>
          <w:rFonts w:eastAsia="Arial Unicode MS" w:cs="Times New Roman"/>
          <w:color w:val="000000"/>
          <w:szCs w:val="28"/>
          <w:lang w:eastAsia="uk-UA"/>
        </w:rPr>
        <w:t>Городовенко Віктор Валентинович</w:t>
      </w:r>
      <w:r w:rsidR="003B5543">
        <w:rPr>
          <w:rFonts w:eastAsia="Arial Unicode MS" w:cs="Times New Roman"/>
          <w:color w:val="000000"/>
          <w:szCs w:val="28"/>
          <w:lang w:eastAsia="uk-UA"/>
        </w:rPr>
        <w:t>,</w:t>
      </w:r>
    </w:p>
    <w:p w14:paraId="29A08FC5" w14:textId="77777777" w:rsidR="00F16B54" w:rsidRPr="004846AF" w:rsidRDefault="00F16B54" w:rsidP="004846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4A9EC9" w14:textId="0550E747" w:rsidR="00C36940" w:rsidRPr="004846AF" w:rsidRDefault="00680D03" w:rsidP="004846A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4846AF">
        <w:rPr>
          <w:rFonts w:cs="Times New Roman"/>
          <w:szCs w:val="28"/>
        </w:rPr>
        <w:t xml:space="preserve">розглянула на засіданні </w:t>
      </w:r>
      <w:r w:rsidR="0080396C" w:rsidRPr="004846AF">
        <w:rPr>
          <w:rFonts w:cs="Times New Roman"/>
          <w:szCs w:val="28"/>
        </w:rPr>
        <w:t xml:space="preserve">питання </w:t>
      </w:r>
      <w:r w:rsidR="006B220F" w:rsidRPr="004846AF">
        <w:rPr>
          <w:rFonts w:cs="Times New Roman"/>
          <w:szCs w:val="28"/>
        </w:rPr>
        <w:t>про відкриття</w:t>
      </w:r>
      <w:r w:rsidRPr="004846AF">
        <w:rPr>
          <w:rFonts w:cs="Times New Roman"/>
          <w:szCs w:val="28"/>
        </w:rPr>
        <w:t xml:space="preserve"> конституційного провадження у справі за конституційною скаргою </w:t>
      </w:r>
      <w:r w:rsidR="002F7B26" w:rsidRPr="004846AF">
        <w:rPr>
          <w:rFonts w:cs="Times New Roman"/>
          <w:szCs w:val="28"/>
        </w:rPr>
        <w:t>Алексенка Павла Олексійовича</w:t>
      </w:r>
      <w:r w:rsidR="00F73F8D" w:rsidRPr="004846AF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1506D3" w:rsidRPr="004846AF">
        <w:rPr>
          <w:rFonts w:cs="Times New Roman"/>
          <w:szCs w:val="28"/>
        </w:rPr>
        <w:t xml:space="preserve"> </w:t>
      </w:r>
      <w:r w:rsidR="00F53073" w:rsidRPr="004846AF">
        <w:rPr>
          <w:rFonts w:cs="Times New Roman"/>
          <w:szCs w:val="28"/>
        </w:rPr>
        <w:t xml:space="preserve">від 28 лютого 1991 року </w:t>
      </w:r>
      <w:r w:rsidR="007A34E4">
        <w:rPr>
          <w:rFonts w:cs="Times New Roman"/>
          <w:szCs w:val="28"/>
        </w:rPr>
        <w:t xml:space="preserve">№ </w:t>
      </w:r>
      <w:r w:rsidR="00F53073" w:rsidRPr="004846AF">
        <w:rPr>
          <w:rFonts w:cs="Times New Roman"/>
          <w:szCs w:val="28"/>
        </w:rPr>
        <w:t>796–XII (</w:t>
      </w:r>
      <w:r w:rsidR="001506D3" w:rsidRPr="004846AF">
        <w:rPr>
          <w:rFonts w:cs="Times New Roman"/>
          <w:szCs w:val="28"/>
        </w:rPr>
        <w:t>Відомості Верховної Ради У</w:t>
      </w:r>
      <w:r w:rsidR="0080396C" w:rsidRPr="004846AF">
        <w:rPr>
          <w:rFonts w:cs="Times New Roman"/>
          <w:szCs w:val="28"/>
        </w:rPr>
        <w:t xml:space="preserve">країнської </w:t>
      </w:r>
      <w:r w:rsidR="001506D3" w:rsidRPr="004846AF">
        <w:rPr>
          <w:rFonts w:cs="Times New Roman"/>
          <w:szCs w:val="28"/>
        </w:rPr>
        <w:t xml:space="preserve">РСР, 1991 р., </w:t>
      </w:r>
      <w:r w:rsidR="007A34E4">
        <w:rPr>
          <w:rFonts w:cs="Times New Roman"/>
          <w:szCs w:val="28"/>
        </w:rPr>
        <w:t xml:space="preserve">№ </w:t>
      </w:r>
      <w:r w:rsidR="001506D3" w:rsidRPr="004846AF">
        <w:rPr>
          <w:rFonts w:cs="Times New Roman"/>
          <w:szCs w:val="28"/>
        </w:rPr>
        <w:t>16, ст. 200)</w:t>
      </w:r>
      <w:r w:rsidR="00787B63" w:rsidRPr="004846AF">
        <w:rPr>
          <w:rFonts w:cs="Times New Roman"/>
          <w:szCs w:val="28"/>
        </w:rPr>
        <w:t xml:space="preserve"> зі змінами</w:t>
      </w:r>
      <w:r w:rsidR="00F73F8D" w:rsidRPr="004846AF">
        <w:rPr>
          <w:rFonts w:cs="Times New Roman"/>
          <w:szCs w:val="28"/>
        </w:rPr>
        <w:t>, статей 11, 21 Закону України „Про пенсійне забезпечення осіб, звільнених з військово</w:t>
      </w:r>
      <w:r w:rsidR="006B220F" w:rsidRPr="004846AF">
        <w:rPr>
          <w:rFonts w:cs="Times New Roman"/>
          <w:szCs w:val="28"/>
        </w:rPr>
        <w:t xml:space="preserve">ї служби, та деяких інших осіб“ від 9 квітня 1992 року </w:t>
      </w:r>
      <w:r w:rsidR="007A34E4">
        <w:rPr>
          <w:rFonts w:cs="Times New Roman"/>
          <w:szCs w:val="28"/>
        </w:rPr>
        <w:lastRenderedPageBreak/>
        <w:t xml:space="preserve">№ </w:t>
      </w:r>
      <w:r w:rsidR="006B220F" w:rsidRPr="004846AF">
        <w:rPr>
          <w:rFonts w:cs="Times New Roman"/>
          <w:szCs w:val="28"/>
        </w:rPr>
        <w:t xml:space="preserve">2262–ХІІ (Відомості Верховної Ради України, 1992 р., </w:t>
      </w:r>
      <w:r w:rsidR="007A34E4">
        <w:rPr>
          <w:rFonts w:cs="Times New Roman"/>
          <w:szCs w:val="28"/>
        </w:rPr>
        <w:t xml:space="preserve">№ </w:t>
      </w:r>
      <w:r w:rsidR="006B220F" w:rsidRPr="004846AF">
        <w:rPr>
          <w:rFonts w:cs="Times New Roman"/>
          <w:szCs w:val="28"/>
        </w:rPr>
        <w:t>29, ст. 399) зі змінами.</w:t>
      </w:r>
    </w:p>
    <w:p w14:paraId="12BA7CD5" w14:textId="77777777" w:rsidR="00F73F8D" w:rsidRPr="004846AF" w:rsidRDefault="00F73F8D" w:rsidP="004846A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1E6F7FCE" w14:textId="185CC006" w:rsidR="00203450" w:rsidRPr="004846AF" w:rsidRDefault="00203450" w:rsidP="004846A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4846AF">
        <w:rPr>
          <w:rFonts w:cs="Times New Roman"/>
          <w:szCs w:val="28"/>
        </w:rPr>
        <w:t xml:space="preserve">Заслухавши суддю-доповідача Первомайського О.О., </w:t>
      </w:r>
      <w:r w:rsidR="00F53073" w:rsidRPr="004846AF">
        <w:rPr>
          <w:rFonts w:cs="Times New Roman"/>
          <w:szCs w:val="28"/>
        </w:rPr>
        <w:t xml:space="preserve">Третя колегія </w:t>
      </w:r>
      <w:r w:rsidR="00296D04" w:rsidRPr="004846AF">
        <w:rPr>
          <w:rFonts w:cs="Times New Roman"/>
          <w:szCs w:val="28"/>
        </w:rPr>
        <w:t xml:space="preserve">суддів </w:t>
      </w:r>
      <w:r w:rsidR="00F53073" w:rsidRPr="004846AF">
        <w:rPr>
          <w:rFonts w:cs="Times New Roman"/>
          <w:szCs w:val="28"/>
        </w:rPr>
        <w:t xml:space="preserve">Другого сенату </w:t>
      </w:r>
      <w:r w:rsidRPr="004846AF">
        <w:rPr>
          <w:rFonts w:cs="Times New Roman"/>
          <w:szCs w:val="28"/>
        </w:rPr>
        <w:t>Конституційного Суду України</w:t>
      </w:r>
    </w:p>
    <w:p w14:paraId="025AE7E1" w14:textId="77777777" w:rsidR="00680D03" w:rsidRPr="004846AF" w:rsidRDefault="00680D03" w:rsidP="004846A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4846AF" w:rsidRDefault="00680D03" w:rsidP="004846AF">
      <w:pPr>
        <w:spacing w:after="0" w:line="372" w:lineRule="auto"/>
        <w:jc w:val="center"/>
        <w:rPr>
          <w:rFonts w:cs="Times New Roman"/>
          <w:b/>
          <w:szCs w:val="28"/>
        </w:rPr>
      </w:pPr>
      <w:r w:rsidRPr="004846AF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4846AF" w:rsidRDefault="00680D03" w:rsidP="004846A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14:paraId="39924049" w14:textId="46757130" w:rsidR="002F7B26" w:rsidRPr="004846AF" w:rsidRDefault="006B220F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</w:rPr>
        <w:t xml:space="preserve">1. </w:t>
      </w:r>
      <w:r w:rsidR="002F7B26" w:rsidRPr="004846AF">
        <w:rPr>
          <w:rFonts w:cs="Times New Roman"/>
          <w:szCs w:val="28"/>
        </w:rPr>
        <w:t xml:space="preserve">Алексенко П.О. </w:t>
      </w:r>
      <w:r w:rsidR="002F7B26" w:rsidRPr="004846AF">
        <w:rPr>
          <w:rFonts w:cs="Times New Roman"/>
          <w:szCs w:val="28"/>
          <w:lang w:eastAsia="uk-UA"/>
        </w:rPr>
        <w:t>звернувся до Конституційного Суду України з клопотанням перевірити на відповідність</w:t>
      </w:r>
      <w:r w:rsidR="000E7710" w:rsidRPr="004846AF">
        <w:rPr>
          <w:rFonts w:cs="Times New Roman"/>
          <w:szCs w:val="28"/>
          <w:lang w:eastAsia="uk-UA"/>
        </w:rPr>
        <w:t xml:space="preserve"> </w:t>
      </w:r>
      <w:r w:rsidR="002F7B26" w:rsidRPr="004846AF">
        <w:rPr>
          <w:rFonts w:cs="Times New Roman"/>
          <w:szCs w:val="28"/>
          <w:lang w:eastAsia="uk-UA"/>
        </w:rPr>
        <w:t>Конституції України (конституційність) частин</w:t>
      </w:r>
      <w:r w:rsidR="009E2770" w:rsidRPr="004846AF">
        <w:rPr>
          <w:rFonts w:cs="Times New Roman"/>
          <w:szCs w:val="28"/>
          <w:lang w:eastAsia="uk-UA"/>
        </w:rPr>
        <w:t>у третю</w:t>
      </w:r>
      <w:r w:rsidR="002F7B26" w:rsidRPr="004846AF">
        <w:rPr>
          <w:rFonts w:cs="Times New Roman"/>
          <w:szCs w:val="28"/>
          <w:lang w:eastAsia="uk-UA"/>
        </w:rPr>
        <w:t xml:space="preserve"> статті 59 Закону України „Про статус і соціальний захист громадян, які постраждали внаслідок </w:t>
      </w:r>
      <w:r w:rsidR="000E7710" w:rsidRPr="004846AF">
        <w:rPr>
          <w:rFonts w:cs="Times New Roman"/>
          <w:szCs w:val="28"/>
          <w:lang w:eastAsia="uk-UA"/>
        </w:rPr>
        <w:t>Чорнобильської катастрофи“ від</w:t>
      </w:r>
      <w:r w:rsidR="00DB1F18" w:rsidRPr="004846AF">
        <w:rPr>
          <w:rFonts w:cs="Times New Roman"/>
          <w:szCs w:val="28"/>
          <w:lang w:eastAsia="uk-UA"/>
        </w:rPr>
        <w:t xml:space="preserve"> </w:t>
      </w:r>
      <w:r w:rsidR="002F7B26" w:rsidRPr="004846AF">
        <w:rPr>
          <w:rFonts w:cs="Times New Roman"/>
          <w:szCs w:val="28"/>
          <w:lang w:eastAsia="uk-UA"/>
        </w:rPr>
        <w:t xml:space="preserve">28 лютого 1991 року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2F7B26" w:rsidRPr="004846AF">
        <w:rPr>
          <w:rFonts w:cs="Times New Roman"/>
          <w:szCs w:val="28"/>
          <w:lang w:eastAsia="uk-UA"/>
        </w:rPr>
        <w:t xml:space="preserve">796–XII </w:t>
      </w:r>
      <w:r w:rsidR="00CD0809" w:rsidRPr="004846AF">
        <w:rPr>
          <w:rFonts w:cs="Times New Roman"/>
          <w:szCs w:val="28"/>
          <w:lang w:eastAsia="uk-UA"/>
        </w:rPr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CD0809" w:rsidRPr="004846AF">
        <w:rPr>
          <w:rFonts w:cs="Times New Roman"/>
          <w:szCs w:val="28"/>
          <w:lang w:eastAsia="uk-UA"/>
        </w:rPr>
        <w:t xml:space="preserve">1584–ІХ </w:t>
      </w:r>
      <w:r w:rsidR="002F7B26" w:rsidRPr="004846AF">
        <w:rPr>
          <w:rFonts w:cs="Times New Roman"/>
          <w:szCs w:val="28"/>
          <w:lang w:eastAsia="uk-UA"/>
        </w:rPr>
        <w:t xml:space="preserve">(далі – Закон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2F7B26" w:rsidRPr="004846AF">
        <w:rPr>
          <w:rFonts w:cs="Times New Roman"/>
          <w:szCs w:val="28"/>
          <w:lang w:eastAsia="uk-UA"/>
        </w:rPr>
        <w:t>796),</w:t>
      </w:r>
      <w:r w:rsidR="002F7B26" w:rsidRPr="004846AF">
        <w:rPr>
          <w:rFonts w:eastAsia="Times New Roman" w:cs="Times New Roman"/>
          <w:szCs w:val="28"/>
        </w:rPr>
        <w:t xml:space="preserve"> статті 11, 21 Закону України „Про пенсійне забезпечення осіб, звільнених з військової служби, та деяких інших осіб“ від 9 квітня 1992 року </w:t>
      </w:r>
      <w:r w:rsidR="007A34E4">
        <w:rPr>
          <w:rFonts w:eastAsia="Times New Roman" w:cs="Times New Roman"/>
          <w:szCs w:val="28"/>
        </w:rPr>
        <w:t xml:space="preserve">№ </w:t>
      </w:r>
      <w:r w:rsidR="002F7B26" w:rsidRPr="004846AF">
        <w:rPr>
          <w:rFonts w:eastAsia="Times New Roman" w:cs="Times New Roman"/>
          <w:szCs w:val="28"/>
        </w:rPr>
        <w:t>2262–XII</w:t>
      </w:r>
      <w:r w:rsidR="004846AF">
        <w:rPr>
          <w:rFonts w:cs="Times New Roman"/>
          <w:szCs w:val="28"/>
          <w:lang w:eastAsia="uk-UA"/>
        </w:rPr>
        <w:t xml:space="preserve"> зі змінами</w:t>
      </w:r>
      <w:r w:rsidR="004846AF">
        <w:rPr>
          <w:rFonts w:cs="Times New Roman"/>
          <w:szCs w:val="28"/>
          <w:lang w:eastAsia="uk-UA"/>
        </w:rPr>
        <w:br/>
      </w:r>
      <w:r w:rsidR="002F7B26" w:rsidRPr="004846AF">
        <w:rPr>
          <w:rFonts w:cs="Times New Roman"/>
          <w:szCs w:val="28"/>
          <w:lang w:eastAsia="uk-UA"/>
        </w:rPr>
        <w:t xml:space="preserve">(далі – Закон </w:t>
      </w:r>
      <w:r w:rsidR="007A34E4">
        <w:rPr>
          <w:rFonts w:eastAsia="Times New Roman" w:cs="Times New Roman"/>
          <w:szCs w:val="28"/>
        </w:rPr>
        <w:t xml:space="preserve">№ </w:t>
      </w:r>
      <w:r w:rsidR="002F7B26" w:rsidRPr="004846AF">
        <w:rPr>
          <w:rFonts w:eastAsia="Times New Roman" w:cs="Times New Roman"/>
          <w:szCs w:val="28"/>
        </w:rPr>
        <w:t>2262</w:t>
      </w:r>
      <w:r w:rsidR="002F7B26" w:rsidRPr="004846AF">
        <w:rPr>
          <w:rFonts w:cs="Times New Roman"/>
          <w:szCs w:val="28"/>
          <w:lang w:eastAsia="uk-UA"/>
        </w:rPr>
        <w:t>).</w:t>
      </w:r>
    </w:p>
    <w:p w14:paraId="3AB90484" w14:textId="3FE0B642" w:rsidR="002F7B26" w:rsidRPr="004846AF" w:rsidRDefault="003650B1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Згідно із частиною третьою статті 59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 xml:space="preserve">796 </w:t>
      </w:r>
      <w:r w:rsidR="00313A2B" w:rsidRPr="004846AF">
        <w:rPr>
          <w:rFonts w:cs="Times New Roman"/>
          <w:szCs w:val="28"/>
          <w:lang w:eastAsia="uk-UA"/>
        </w:rPr>
        <w:t>„</w:t>
      </w:r>
      <w:r w:rsidR="0080396C" w:rsidRPr="004846AF">
        <w:rPr>
          <w:rFonts w:cs="Times New Roman"/>
          <w:szCs w:val="28"/>
          <w:lang w:eastAsia="uk-UA"/>
        </w:rPr>
        <w:t>о</w:t>
      </w:r>
      <w:r w:rsidR="00313A2B" w:rsidRPr="004846AF">
        <w:rPr>
          <w:rFonts w:cs="Times New Roman"/>
          <w:szCs w:val="28"/>
          <w:lang w:eastAsia="uk-UA"/>
        </w:rPr>
        <w:t xml:space="preserve">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цього Закону або за бажанням таких осіб </w:t>
      </w:r>
      <w:r w:rsidR="00380B7D" w:rsidRPr="004846AF">
        <w:rPr>
          <w:rFonts w:cs="Times New Roman"/>
          <w:szCs w:val="28"/>
          <w:lang w:eastAsia="uk-UA"/>
        </w:rPr>
        <w:t>–</w:t>
      </w:r>
      <w:r w:rsidR="00313A2B" w:rsidRPr="004846AF">
        <w:rPr>
          <w:rFonts w:cs="Times New Roman"/>
          <w:szCs w:val="28"/>
          <w:lang w:eastAsia="uk-UA"/>
        </w:rPr>
        <w:t xml:space="preserve"> з п’ятикратного розміру мінімальної заробітної плати, встановленої законом на 1 січня відповідного року</w:t>
      </w:r>
      <w:r w:rsidR="00380B7D" w:rsidRPr="004846AF">
        <w:rPr>
          <w:rFonts w:cs="Times New Roman"/>
          <w:szCs w:val="28"/>
          <w:lang w:eastAsia="uk-UA"/>
        </w:rPr>
        <w:t>“</w:t>
      </w:r>
      <w:r w:rsidR="002F7B26" w:rsidRPr="004846AF">
        <w:rPr>
          <w:rFonts w:cs="Times New Roman"/>
          <w:szCs w:val="28"/>
          <w:lang w:eastAsia="uk-UA"/>
        </w:rPr>
        <w:t>.</w:t>
      </w:r>
    </w:p>
    <w:p w14:paraId="66EF072E" w14:textId="2BF8DF33" w:rsidR="002F7B26" w:rsidRPr="004846AF" w:rsidRDefault="00380B7D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846A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Згідно зі статтею 11 Закону </w:t>
      </w:r>
      <w:r w:rsidR="007A34E4">
        <w:rPr>
          <w:rFonts w:eastAsia="Times New Roman" w:cs="Times New Roman"/>
          <w:szCs w:val="28"/>
          <w:shd w:val="clear" w:color="auto" w:fill="FFFFFF"/>
          <w:lang w:eastAsia="ru-RU"/>
        </w:rPr>
        <w:t xml:space="preserve">№ </w:t>
      </w:r>
      <w:r w:rsidRPr="004846AF">
        <w:rPr>
          <w:rFonts w:eastAsia="Times New Roman" w:cs="Times New Roman"/>
          <w:szCs w:val="28"/>
          <w:shd w:val="clear" w:color="auto" w:fill="FFFFFF"/>
          <w:lang w:eastAsia="ru-RU"/>
        </w:rPr>
        <w:t xml:space="preserve">2262 </w:t>
      </w:r>
      <w:r w:rsidR="00D44AE5" w:rsidRPr="004846AF">
        <w:rPr>
          <w:rFonts w:eastAsia="Times New Roman" w:cs="Times New Roman"/>
          <w:szCs w:val="28"/>
          <w:shd w:val="clear" w:color="auto" w:fill="FFFFFF"/>
          <w:lang w:eastAsia="ru-RU"/>
        </w:rPr>
        <w:t>«</w:t>
      </w:r>
      <w:r w:rsidR="0080396C" w:rsidRPr="004846AF">
        <w:rPr>
          <w:rFonts w:eastAsia="Times New Roman" w:cs="Times New Roman"/>
          <w:szCs w:val="28"/>
          <w:shd w:val="clear" w:color="auto" w:fill="FFFFFF"/>
          <w:lang w:eastAsia="ru-RU"/>
        </w:rPr>
        <w:t>умови</w:t>
      </w:r>
      <w:r w:rsidR="00D44AE5" w:rsidRPr="004846AF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норми і порядок пенсійного забезпечення військовослужбовців, осіб, які мають право на пенсію за цим </w:t>
      </w:r>
      <w:r w:rsidR="00D44AE5" w:rsidRPr="004846AF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Законом, які постраждали внаслідок Чорнобильської катастрофи, визначаються Законом України „Про статус і соціальний захист громадян, які постраждали внаслідок Чорнобильської катастрофи“ і цим Законом»</w:t>
      </w:r>
      <w:r w:rsidR="002F7B26" w:rsidRPr="004846A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7AF357A2" w14:textId="049A2577" w:rsidR="002F7B26" w:rsidRPr="004846AF" w:rsidRDefault="002F7B26" w:rsidP="004846AF">
      <w:pPr>
        <w:shd w:val="clear" w:color="auto" w:fill="FFFFFF"/>
        <w:spacing w:after="0" w:line="372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4846AF">
        <w:rPr>
          <w:rFonts w:eastAsia="Times New Roman" w:cs="Times New Roman"/>
          <w:szCs w:val="28"/>
          <w:lang w:eastAsia="uk-UA"/>
        </w:rPr>
        <w:t xml:space="preserve">Пенсії </w:t>
      </w:r>
      <w:r w:rsidR="009E2770" w:rsidRPr="004846AF">
        <w:rPr>
          <w:rFonts w:eastAsia="Times New Roman" w:cs="Times New Roman"/>
          <w:szCs w:val="28"/>
          <w:lang w:eastAsia="uk-UA"/>
        </w:rPr>
        <w:t>з</w:t>
      </w:r>
      <w:r w:rsidRPr="004846AF">
        <w:rPr>
          <w:rFonts w:eastAsia="Times New Roman" w:cs="Times New Roman"/>
          <w:szCs w:val="28"/>
          <w:lang w:eastAsia="uk-UA"/>
        </w:rPr>
        <w:t xml:space="preserve"> інвалідності військовослужбовцям, особам, які мають право на пенсію за Законом </w:t>
      </w:r>
      <w:r w:rsidR="007A34E4">
        <w:rPr>
          <w:rFonts w:eastAsia="Times New Roman" w:cs="Times New Roman"/>
          <w:szCs w:val="28"/>
          <w:lang w:eastAsia="uk-UA"/>
        </w:rPr>
        <w:t xml:space="preserve">№ </w:t>
      </w:r>
      <w:r w:rsidRPr="004846AF">
        <w:rPr>
          <w:rFonts w:eastAsia="Times New Roman" w:cs="Times New Roman"/>
          <w:szCs w:val="28"/>
          <w:lang w:eastAsia="uk-UA"/>
        </w:rPr>
        <w:t>2262, призначаються в таких розмірах:</w:t>
      </w:r>
      <w:bookmarkStart w:id="1" w:name="n221"/>
      <w:bookmarkEnd w:id="1"/>
      <w:r w:rsidRPr="004846AF">
        <w:rPr>
          <w:rFonts w:eastAsia="Times New Roman" w:cs="Times New Roman"/>
          <w:szCs w:val="28"/>
          <w:lang w:eastAsia="uk-UA"/>
        </w:rPr>
        <w:t xml:space="preserve"> а) особам з інвалідністю внаслідок війни 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100 процентів, II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80 процентів, </w:t>
      </w:r>
      <w:r w:rsidRPr="004846AF">
        <w:rPr>
          <w:rFonts w:eastAsia="Times New Roman" w:cs="Times New Roman"/>
          <w:szCs w:val="28"/>
          <w:lang w:eastAsia="uk-UA"/>
        </w:rPr>
        <w:br/>
        <w:t xml:space="preserve">III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60 процентів відповідних сум грошового забезпечення (заробітку);</w:t>
      </w:r>
      <w:bookmarkStart w:id="2" w:name="n222"/>
      <w:bookmarkEnd w:id="2"/>
      <w:r w:rsidRPr="004846AF">
        <w:rPr>
          <w:rFonts w:eastAsia="Times New Roman" w:cs="Times New Roman"/>
          <w:szCs w:val="28"/>
          <w:lang w:eastAsia="uk-UA"/>
        </w:rPr>
        <w:t xml:space="preserve"> </w:t>
      </w:r>
      <w:r w:rsidRPr="004846AF">
        <w:rPr>
          <w:rFonts w:eastAsia="Times New Roman" w:cs="Times New Roman"/>
          <w:szCs w:val="28"/>
          <w:lang w:eastAsia="uk-UA"/>
        </w:rPr>
        <w:br/>
        <w:t xml:space="preserve">б) іншим особам з інвалідністю 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70 процентів, II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60 процентів, III групи </w:t>
      </w:r>
      <w:r w:rsidRPr="004846AF">
        <w:rPr>
          <w:rFonts w:eastAsia="Times New Roman" w:cs="Times New Roman"/>
          <w:szCs w:val="28"/>
        </w:rPr>
        <w:t>–</w:t>
      </w:r>
      <w:r w:rsidRPr="004846AF">
        <w:rPr>
          <w:rFonts w:eastAsia="Times New Roman" w:cs="Times New Roman"/>
          <w:szCs w:val="28"/>
          <w:lang w:eastAsia="uk-UA"/>
        </w:rPr>
        <w:t xml:space="preserve"> 40 процентів відповідних сум грошового забезпечення (заробітку) (</w:t>
      </w:r>
      <w:r w:rsidRPr="004846AF">
        <w:rPr>
          <w:rFonts w:eastAsia="Times New Roman" w:cs="Times New Roman"/>
          <w:szCs w:val="28"/>
          <w:shd w:val="clear" w:color="auto" w:fill="FFFFFF"/>
          <w:lang w:eastAsia="uk-UA"/>
        </w:rPr>
        <w:t xml:space="preserve">стаття 21 </w:t>
      </w:r>
      <w:r w:rsidRPr="004846AF">
        <w:rPr>
          <w:rFonts w:cs="Times New Roman"/>
          <w:szCs w:val="28"/>
          <w:lang w:eastAsia="uk-UA"/>
        </w:rPr>
        <w:t xml:space="preserve">Закону </w:t>
      </w:r>
      <w:r w:rsidR="007A34E4">
        <w:rPr>
          <w:rFonts w:eastAsia="Times New Roman" w:cs="Times New Roman"/>
          <w:szCs w:val="28"/>
        </w:rPr>
        <w:t xml:space="preserve">№ </w:t>
      </w:r>
      <w:r w:rsidRPr="004846AF">
        <w:rPr>
          <w:rFonts w:eastAsia="Times New Roman" w:cs="Times New Roman"/>
          <w:szCs w:val="28"/>
        </w:rPr>
        <w:t>2262)</w:t>
      </w:r>
      <w:r w:rsidRPr="004846AF">
        <w:rPr>
          <w:rFonts w:eastAsia="Times New Roman" w:cs="Times New Roman"/>
          <w:szCs w:val="28"/>
          <w:lang w:eastAsia="uk-UA"/>
        </w:rPr>
        <w:t>.</w:t>
      </w:r>
    </w:p>
    <w:p w14:paraId="4961A5D0" w14:textId="77777777" w:rsidR="002F47F8" w:rsidRPr="004846AF" w:rsidRDefault="002F47F8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</w:p>
    <w:p w14:paraId="3D7AAC4B" w14:textId="18D54917" w:rsidR="002F47F8" w:rsidRPr="004846AF" w:rsidRDefault="002F47F8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>2. Зі змісту конституційної скарги та долучених до неї матеріалів убачаються такі обставини справи.</w:t>
      </w:r>
    </w:p>
    <w:p w14:paraId="2630957C" w14:textId="7FF30703" w:rsidR="002F47F8" w:rsidRPr="004846AF" w:rsidRDefault="002F47F8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Алексенко П.О. належить до осіб, які </w:t>
      </w:r>
      <w:r w:rsidR="00EE4CE6" w:rsidRPr="004846AF">
        <w:rPr>
          <w:rFonts w:cs="Times New Roman"/>
          <w:szCs w:val="28"/>
          <w:lang w:eastAsia="uk-UA"/>
        </w:rPr>
        <w:t xml:space="preserve">на підставі статті 302 Кодексу адміністративного судочинства України (далі – Кодекс) </w:t>
      </w:r>
      <w:r w:rsidRPr="004846AF">
        <w:rPr>
          <w:rFonts w:cs="Times New Roman"/>
          <w:szCs w:val="28"/>
          <w:lang w:eastAsia="uk-UA"/>
        </w:rPr>
        <w:t>приєдналися до апеляційної скарги Шабельника М.В., як</w:t>
      </w:r>
      <w:r w:rsidR="0080396C" w:rsidRPr="004846AF">
        <w:rPr>
          <w:rFonts w:cs="Times New Roman"/>
          <w:szCs w:val="28"/>
          <w:lang w:eastAsia="uk-UA"/>
        </w:rPr>
        <w:t>у</w:t>
      </w:r>
      <w:r w:rsidRPr="004846AF">
        <w:rPr>
          <w:rFonts w:cs="Times New Roman"/>
          <w:szCs w:val="28"/>
          <w:lang w:eastAsia="uk-UA"/>
        </w:rPr>
        <w:t xml:space="preserve"> розгля</w:t>
      </w:r>
      <w:r w:rsidR="0080396C" w:rsidRPr="004846AF">
        <w:rPr>
          <w:rFonts w:cs="Times New Roman"/>
          <w:szCs w:val="28"/>
          <w:lang w:eastAsia="uk-UA"/>
        </w:rPr>
        <w:t>нув</w:t>
      </w:r>
      <w:r w:rsidRPr="004846AF">
        <w:rPr>
          <w:rFonts w:cs="Times New Roman"/>
          <w:szCs w:val="28"/>
          <w:lang w:eastAsia="uk-UA"/>
        </w:rPr>
        <w:t xml:space="preserve"> Верховни</w:t>
      </w:r>
      <w:r w:rsidR="0080396C" w:rsidRPr="004846AF">
        <w:rPr>
          <w:rFonts w:cs="Times New Roman"/>
          <w:szCs w:val="28"/>
          <w:lang w:eastAsia="uk-UA"/>
        </w:rPr>
        <w:t>й</w:t>
      </w:r>
      <w:r w:rsidRPr="004846AF">
        <w:rPr>
          <w:rFonts w:cs="Times New Roman"/>
          <w:szCs w:val="28"/>
          <w:lang w:eastAsia="uk-UA"/>
        </w:rPr>
        <w:t xml:space="preserve"> Суд у складі колегії суддів Касаційного адміністративного суду як суду першої інстанції у зразковій справі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>520/12609/19.</w:t>
      </w:r>
    </w:p>
    <w:p w14:paraId="3B61CE77" w14:textId="58C59B0A" w:rsidR="00EE4CE6" w:rsidRPr="004846AF" w:rsidRDefault="006A518B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Шабельник М.В. </w:t>
      </w:r>
      <w:r w:rsidR="002F47F8" w:rsidRPr="004846AF">
        <w:rPr>
          <w:rFonts w:cs="Times New Roman"/>
          <w:szCs w:val="28"/>
          <w:lang w:eastAsia="uk-UA"/>
        </w:rPr>
        <w:t xml:space="preserve">25 листопада 2019 року звернувся до Харківського окружного адміністративного суду з адміністративним позовом до Головного </w:t>
      </w:r>
      <w:r w:rsidR="00505CF3">
        <w:rPr>
          <w:rFonts w:cs="Times New Roman"/>
          <w:szCs w:val="28"/>
          <w:lang w:eastAsia="uk-UA"/>
        </w:rPr>
        <w:t>у</w:t>
      </w:r>
      <w:r w:rsidR="002F47F8" w:rsidRPr="004846AF">
        <w:rPr>
          <w:rFonts w:cs="Times New Roman"/>
          <w:szCs w:val="28"/>
          <w:lang w:eastAsia="uk-UA"/>
        </w:rPr>
        <w:t xml:space="preserve">правління Пенсійного фонду України в Харківській області (далі – </w:t>
      </w:r>
      <w:r w:rsidR="00EE4CE6" w:rsidRPr="004846AF">
        <w:rPr>
          <w:rFonts w:cs="Times New Roman"/>
          <w:szCs w:val="28"/>
          <w:lang w:eastAsia="uk-UA"/>
        </w:rPr>
        <w:t>Управління)</w:t>
      </w:r>
      <w:r w:rsidR="00FE410B" w:rsidRPr="004846AF">
        <w:rPr>
          <w:rFonts w:cs="Times New Roman"/>
          <w:szCs w:val="28"/>
          <w:lang w:eastAsia="uk-UA"/>
        </w:rPr>
        <w:t xml:space="preserve"> про визнання протиправною бездіяльн</w:t>
      </w:r>
      <w:r w:rsidRPr="004846AF">
        <w:rPr>
          <w:rFonts w:cs="Times New Roman"/>
          <w:szCs w:val="28"/>
          <w:lang w:eastAsia="uk-UA"/>
        </w:rPr>
        <w:t>о</w:t>
      </w:r>
      <w:r w:rsidR="00FE410B" w:rsidRPr="004846AF">
        <w:rPr>
          <w:rFonts w:cs="Times New Roman"/>
          <w:szCs w:val="28"/>
          <w:lang w:eastAsia="uk-UA"/>
        </w:rPr>
        <w:t>ст</w:t>
      </w:r>
      <w:r w:rsidRPr="004846AF">
        <w:rPr>
          <w:rFonts w:cs="Times New Roman"/>
          <w:szCs w:val="28"/>
          <w:lang w:eastAsia="uk-UA"/>
        </w:rPr>
        <w:t>і</w:t>
      </w:r>
      <w:r w:rsidR="00FE410B" w:rsidRPr="004846AF">
        <w:rPr>
          <w:rFonts w:cs="Times New Roman"/>
          <w:szCs w:val="28"/>
          <w:lang w:eastAsia="uk-UA"/>
        </w:rPr>
        <w:t xml:space="preserve"> Управління</w:t>
      </w:r>
      <w:r w:rsidR="00CF43C6" w:rsidRPr="004846AF">
        <w:rPr>
          <w:rFonts w:cs="Times New Roman"/>
          <w:szCs w:val="28"/>
          <w:lang w:eastAsia="uk-UA"/>
        </w:rPr>
        <w:t xml:space="preserve">, зобов’язання нарахувати та виплатити належну йому пенсію в порядку та </w:t>
      </w:r>
      <w:r w:rsidR="003B5543">
        <w:rPr>
          <w:rFonts w:cs="Times New Roman"/>
          <w:szCs w:val="28"/>
          <w:lang w:eastAsia="uk-UA"/>
        </w:rPr>
        <w:t>розмірі, визначеному</w:t>
      </w:r>
      <w:r w:rsidR="003B5543">
        <w:rPr>
          <w:rFonts w:cs="Times New Roman"/>
          <w:szCs w:val="28"/>
          <w:lang w:eastAsia="uk-UA"/>
        </w:rPr>
        <w:br/>
      </w:r>
      <w:r w:rsidR="00CF43C6" w:rsidRPr="004846AF">
        <w:rPr>
          <w:rFonts w:cs="Times New Roman"/>
          <w:szCs w:val="28"/>
          <w:lang w:eastAsia="uk-UA"/>
        </w:rPr>
        <w:t>Законо</w:t>
      </w:r>
      <w:r w:rsidR="001927B5" w:rsidRPr="004846AF">
        <w:rPr>
          <w:rFonts w:cs="Times New Roman"/>
          <w:szCs w:val="28"/>
          <w:lang w:eastAsia="uk-UA"/>
        </w:rPr>
        <w:t>м</w:t>
      </w:r>
      <w:r w:rsidR="003B5543">
        <w:rPr>
          <w:rFonts w:cs="Times New Roman"/>
          <w:szCs w:val="28"/>
          <w:lang w:eastAsia="uk-UA"/>
        </w:rPr>
        <w:t xml:space="preserve">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CF43C6" w:rsidRPr="004846AF">
        <w:rPr>
          <w:rFonts w:cs="Times New Roman"/>
          <w:szCs w:val="28"/>
          <w:lang w:eastAsia="uk-UA"/>
        </w:rPr>
        <w:t>2262</w:t>
      </w:r>
      <w:r w:rsidR="001927B5" w:rsidRPr="004846AF">
        <w:rPr>
          <w:rFonts w:cs="Times New Roman"/>
          <w:szCs w:val="28"/>
          <w:lang w:eastAsia="uk-UA"/>
        </w:rPr>
        <w:t xml:space="preserve"> та Законом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1927B5" w:rsidRPr="004846AF">
        <w:rPr>
          <w:rFonts w:cs="Times New Roman"/>
          <w:szCs w:val="28"/>
          <w:lang w:eastAsia="uk-UA"/>
        </w:rPr>
        <w:t>796</w:t>
      </w:r>
      <w:r w:rsidR="003B5543">
        <w:rPr>
          <w:rFonts w:cs="Times New Roman"/>
          <w:szCs w:val="28"/>
          <w:lang w:eastAsia="uk-UA"/>
        </w:rPr>
        <w:t>,</w:t>
      </w:r>
      <w:r w:rsidR="001927B5" w:rsidRPr="004846AF">
        <w:rPr>
          <w:rFonts w:cs="Times New Roman"/>
          <w:szCs w:val="28"/>
          <w:lang w:eastAsia="uk-UA"/>
        </w:rPr>
        <w:t xml:space="preserve"> з урахуванням рішень Конституційного Суду України, без обмежень, а </w:t>
      </w:r>
      <w:r w:rsidR="002D1F45" w:rsidRPr="004846AF">
        <w:rPr>
          <w:rFonts w:cs="Times New Roman"/>
          <w:szCs w:val="28"/>
          <w:lang w:eastAsia="uk-UA"/>
        </w:rPr>
        <w:t>також стягнення суми протиправно не</w:t>
      </w:r>
      <w:r w:rsidR="003B5543">
        <w:rPr>
          <w:rFonts w:cs="Times New Roman"/>
          <w:szCs w:val="28"/>
          <w:lang w:eastAsia="uk-UA"/>
        </w:rPr>
        <w:t xml:space="preserve"> </w:t>
      </w:r>
      <w:r w:rsidR="002D1F45" w:rsidRPr="004846AF">
        <w:rPr>
          <w:rFonts w:cs="Times New Roman"/>
          <w:szCs w:val="28"/>
          <w:lang w:eastAsia="uk-UA"/>
        </w:rPr>
        <w:t>сплаченої йому частини пенсії.</w:t>
      </w:r>
    </w:p>
    <w:p w14:paraId="22C683A7" w14:textId="4B7D2300" w:rsidR="002F47F8" w:rsidRPr="004846AF" w:rsidRDefault="002F47F8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Харківський окружний адміністративний суд відкрив провадження у справі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 xml:space="preserve">520/12609/19 та звернувся до Касаційного адміністративного суду у </w:t>
      </w:r>
      <w:r w:rsidRPr="004846AF">
        <w:rPr>
          <w:rFonts w:cs="Times New Roman"/>
          <w:szCs w:val="28"/>
          <w:lang w:eastAsia="uk-UA"/>
        </w:rPr>
        <w:lastRenderedPageBreak/>
        <w:t xml:space="preserve">складі Верховного Суду про розгляд </w:t>
      </w:r>
      <w:r w:rsidR="002A0F3A" w:rsidRPr="004846AF">
        <w:rPr>
          <w:rFonts w:cs="Times New Roman"/>
          <w:szCs w:val="28"/>
          <w:lang w:eastAsia="uk-UA"/>
        </w:rPr>
        <w:t>у</w:t>
      </w:r>
      <w:r w:rsidRPr="004846AF">
        <w:rPr>
          <w:rFonts w:cs="Times New Roman"/>
          <w:szCs w:val="28"/>
          <w:lang w:eastAsia="uk-UA"/>
        </w:rPr>
        <w:t>казаної адміністративної справи як зразкової.</w:t>
      </w:r>
    </w:p>
    <w:p w14:paraId="6D51CB57" w14:textId="49E3AEAC" w:rsidR="00462BFF" w:rsidRPr="004846AF" w:rsidRDefault="00344101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>Касаційний адміністративний суд у складі Верховного Суду відкрив провадження у цій зразковій справі та рішенням від 20 травня 2020 року відмовив у задоволенні позовних вимог</w:t>
      </w:r>
      <w:r w:rsidR="004846AF">
        <w:rPr>
          <w:rFonts w:cs="Times New Roman"/>
          <w:szCs w:val="28"/>
          <w:lang w:eastAsia="uk-UA"/>
        </w:rPr>
        <w:t xml:space="preserve"> Шабельника М.В.</w:t>
      </w:r>
    </w:p>
    <w:p w14:paraId="038DAAA0" w14:textId="1CC93269" w:rsidR="00344101" w:rsidRPr="004846AF" w:rsidRDefault="00344101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>Велика Палата Верховного Суду</w:t>
      </w:r>
      <w:r w:rsidR="00B736E2" w:rsidRPr="004846AF">
        <w:rPr>
          <w:rFonts w:cs="Times New Roman"/>
          <w:szCs w:val="28"/>
          <w:lang w:eastAsia="uk-UA"/>
        </w:rPr>
        <w:t xml:space="preserve"> постановою від </w:t>
      </w:r>
      <w:r w:rsidR="000321FD" w:rsidRPr="004846AF">
        <w:rPr>
          <w:rFonts w:cs="Times New Roman"/>
          <w:szCs w:val="28"/>
          <w:lang w:eastAsia="uk-UA"/>
        </w:rPr>
        <w:t xml:space="preserve">21 квітня 2021 року </w:t>
      </w:r>
      <w:r w:rsidR="00E21E6F" w:rsidRPr="004846AF">
        <w:rPr>
          <w:rFonts w:cs="Times New Roman"/>
          <w:szCs w:val="28"/>
          <w:lang w:eastAsia="uk-UA"/>
        </w:rPr>
        <w:t xml:space="preserve">залишила без </w:t>
      </w:r>
      <w:r w:rsidR="00F755D0" w:rsidRPr="004846AF">
        <w:rPr>
          <w:rFonts w:cs="Times New Roman"/>
          <w:szCs w:val="28"/>
          <w:lang w:eastAsia="uk-UA"/>
        </w:rPr>
        <w:t>за</w:t>
      </w:r>
      <w:r w:rsidR="00E21E6F" w:rsidRPr="004846AF">
        <w:rPr>
          <w:rFonts w:cs="Times New Roman"/>
          <w:szCs w:val="28"/>
          <w:lang w:eastAsia="uk-UA"/>
        </w:rPr>
        <w:t>доволення апеляційні скарги Шабельника М</w:t>
      </w:r>
      <w:r w:rsidR="00F755D0" w:rsidRPr="004846AF">
        <w:rPr>
          <w:rFonts w:cs="Times New Roman"/>
          <w:szCs w:val="28"/>
          <w:lang w:eastAsia="uk-UA"/>
        </w:rPr>
        <w:t>.</w:t>
      </w:r>
      <w:r w:rsidR="00E21E6F" w:rsidRPr="004846AF">
        <w:rPr>
          <w:rFonts w:cs="Times New Roman"/>
          <w:szCs w:val="28"/>
          <w:lang w:eastAsia="uk-UA"/>
        </w:rPr>
        <w:t xml:space="preserve">В. та осіб, які приєдналися до </w:t>
      </w:r>
      <w:r w:rsidR="002A0F3A" w:rsidRPr="004846AF">
        <w:rPr>
          <w:rFonts w:cs="Times New Roman"/>
          <w:szCs w:val="28"/>
          <w:lang w:eastAsia="uk-UA"/>
        </w:rPr>
        <w:t xml:space="preserve">його </w:t>
      </w:r>
      <w:r w:rsidR="00E21E6F" w:rsidRPr="004846AF">
        <w:rPr>
          <w:rFonts w:cs="Times New Roman"/>
          <w:szCs w:val="28"/>
          <w:lang w:eastAsia="uk-UA"/>
        </w:rPr>
        <w:t xml:space="preserve">апеляційної скарги, </w:t>
      </w:r>
      <w:r w:rsidR="00F755D0" w:rsidRPr="004846AF">
        <w:rPr>
          <w:rFonts w:cs="Times New Roman"/>
          <w:szCs w:val="28"/>
          <w:lang w:eastAsia="uk-UA"/>
        </w:rPr>
        <w:t>у тому числі</w:t>
      </w:r>
      <w:r w:rsidR="00E21E6F" w:rsidRPr="004846AF">
        <w:rPr>
          <w:rFonts w:cs="Times New Roman"/>
          <w:szCs w:val="28"/>
          <w:lang w:eastAsia="uk-UA"/>
        </w:rPr>
        <w:t xml:space="preserve"> </w:t>
      </w:r>
      <w:r w:rsidR="00F755D0" w:rsidRPr="004846AF">
        <w:rPr>
          <w:rFonts w:cs="Times New Roman"/>
          <w:szCs w:val="28"/>
          <w:lang w:eastAsia="uk-UA"/>
        </w:rPr>
        <w:t xml:space="preserve">Алексенка П.О., </w:t>
      </w:r>
      <w:r w:rsidR="000321FD" w:rsidRPr="004846AF">
        <w:rPr>
          <w:rFonts w:cs="Times New Roman"/>
          <w:szCs w:val="28"/>
          <w:lang w:eastAsia="uk-UA"/>
        </w:rPr>
        <w:t>залишила без змін рішення Касаційного адміністративного суду у складі Верховно</w:t>
      </w:r>
      <w:r w:rsidR="003B1599" w:rsidRPr="004846AF">
        <w:rPr>
          <w:rFonts w:cs="Times New Roman"/>
          <w:szCs w:val="28"/>
          <w:lang w:eastAsia="uk-UA"/>
        </w:rPr>
        <w:t>го Суду від 20 травня 2020 року та погодилася з висновком суду першої інстанції, що „особи</w:t>
      </w:r>
      <w:r w:rsidR="004959DE" w:rsidRPr="004846AF">
        <w:rPr>
          <w:rFonts w:cs="Times New Roman"/>
          <w:szCs w:val="28"/>
          <w:lang w:eastAsia="uk-UA"/>
        </w:rPr>
        <w:t xml:space="preserve">, які брали участь у ліквідації наслідків Чорнобильської катастрофи під час проходження військової служби та мають інвалідність внаслідок цього, вправі очікувати на обчислення пенсії виходячи з п’ятикратного розміру мінімальної заробітної плати, встановленої законом на 01 січня відповідного року, згідно з частиною третьою статті 59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4846AF">
        <w:rPr>
          <w:rFonts w:cs="Times New Roman"/>
          <w:szCs w:val="28"/>
          <w:lang w:eastAsia="uk-UA"/>
        </w:rPr>
        <w:t>796</w:t>
      </w:r>
      <w:r w:rsidR="003B5543">
        <w:rPr>
          <w:rFonts w:cs="Times New Roman"/>
          <w:szCs w:val="28"/>
          <w:lang w:eastAsia="uk-UA"/>
        </w:rPr>
        <w:t>–</w:t>
      </w:r>
      <w:r w:rsidR="004846AF">
        <w:rPr>
          <w:rFonts w:cs="Times New Roman"/>
          <w:szCs w:val="28"/>
          <w:lang w:eastAsia="uk-UA"/>
        </w:rPr>
        <w:t xml:space="preserve">ХІІ з </w:t>
      </w:r>
      <w:r w:rsidR="00A822BC" w:rsidRPr="004846AF">
        <w:rPr>
          <w:rFonts w:cs="Times New Roman"/>
          <w:szCs w:val="28"/>
          <w:lang w:eastAsia="uk-UA"/>
        </w:rPr>
        <w:t>26</w:t>
      </w:r>
      <w:r w:rsidR="004846AF" w:rsidRPr="004846AF">
        <w:rPr>
          <w:rFonts w:cs="Times New Roman"/>
          <w:szCs w:val="28"/>
          <w:lang w:eastAsia="uk-UA"/>
        </w:rPr>
        <w:t xml:space="preserve"> </w:t>
      </w:r>
      <w:r w:rsidR="004846AF">
        <w:rPr>
          <w:rFonts w:cs="Times New Roman"/>
          <w:szCs w:val="28"/>
          <w:lang w:eastAsia="uk-UA"/>
        </w:rPr>
        <w:t>квітня</w:t>
      </w:r>
      <w:r w:rsidR="004846AF">
        <w:rPr>
          <w:rFonts w:cs="Times New Roman"/>
          <w:szCs w:val="28"/>
          <w:lang w:eastAsia="uk-UA"/>
        </w:rPr>
        <w:br/>
        <w:t xml:space="preserve">2019 </w:t>
      </w:r>
      <w:r w:rsidR="004959DE" w:rsidRPr="004846AF">
        <w:rPr>
          <w:rFonts w:cs="Times New Roman"/>
          <w:szCs w:val="28"/>
          <w:lang w:eastAsia="uk-UA"/>
        </w:rPr>
        <w:t>року</w:t>
      </w:r>
      <w:r w:rsidR="00A822BC" w:rsidRPr="004846AF">
        <w:rPr>
          <w:rFonts w:cs="Times New Roman"/>
          <w:szCs w:val="28"/>
          <w:lang w:eastAsia="uk-UA"/>
        </w:rPr>
        <w:t>“</w:t>
      </w:r>
      <w:r w:rsidR="004959DE" w:rsidRPr="004846AF">
        <w:rPr>
          <w:rFonts w:cs="Times New Roman"/>
          <w:szCs w:val="28"/>
          <w:lang w:eastAsia="uk-UA"/>
        </w:rPr>
        <w:t>.</w:t>
      </w:r>
    </w:p>
    <w:p w14:paraId="1B79C7FA" w14:textId="77777777" w:rsidR="000E7710" w:rsidRPr="004846AF" w:rsidRDefault="000E7710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</w:p>
    <w:p w14:paraId="1414EE3F" w14:textId="58CDB596" w:rsidR="00C24E3B" w:rsidRPr="004846AF" w:rsidRDefault="000321FD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>2.1. Автор клопотання стверджує, що</w:t>
      </w:r>
      <w:r w:rsidR="000E7710" w:rsidRPr="004846AF">
        <w:rPr>
          <w:rFonts w:cs="Times New Roman"/>
          <w:szCs w:val="28"/>
          <w:lang w:eastAsia="uk-UA"/>
        </w:rPr>
        <w:t xml:space="preserve"> приписи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0E7710" w:rsidRPr="004846AF">
        <w:rPr>
          <w:rFonts w:cs="Times New Roman"/>
          <w:szCs w:val="28"/>
          <w:lang w:eastAsia="uk-UA"/>
        </w:rPr>
        <w:t>796,</w:t>
      </w:r>
      <w:r w:rsidR="004846AF">
        <w:rPr>
          <w:rFonts w:eastAsia="Times New Roman" w:cs="Times New Roman"/>
          <w:szCs w:val="28"/>
        </w:rPr>
        <w:br/>
      </w:r>
      <w:r w:rsidR="000E7710" w:rsidRPr="004846AF">
        <w:rPr>
          <w:rFonts w:cs="Times New Roman"/>
          <w:szCs w:val="28"/>
          <w:lang w:eastAsia="uk-UA"/>
        </w:rPr>
        <w:t xml:space="preserve">Закону </w:t>
      </w:r>
      <w:r w:rsidR="007A34E4">
        <w:rPr>
          <w:rFonts w:eastAsia="Times New Roman" w:cs="Times New Roman"/>
          <w:szCs w:val="28"/>
        </w:rPr>
        <w:t xml:space="preserve">№ </w:t>
      </w:r>
      <w:r w:rsidR="000E7710" w:rsidRPr="004846AF">
        <w:rPr>
          <w:rFonts w:eastAsia="Times New Roman" w:cs="Times New Roman"/>
          <w:szCs w:val="28"/>
        </w:rPr>
        <w:t xml:space="preserve">2262 не відповідають </w:t>
      </w:r>
      <w:r w:rsidR="000E7710" w:rsidRPr="004846AF">
        <w:rPr>
          <w:rFonts w:cs="Times New Roman"/>
          <w:szCs w:val="28"/>
          <w:lang w:eastAsia="uk-UA"/>
        </w:rPr>
        <w:t xml:space="preserve">статтям 3, 8, 9, 16, 17, 19, 22, пунктам </w:t>
      </w:r>
      <w:r w:rsidR="004846AF">
        <w:rPr>
          <w:rFonts w:cs="Times New Roman"/>
          <w:szCs w:val="28"/>
          <w:lang w:eastAsia="uk-UA"/>
        </w:rPr>
        <w:t>1, 6</w:t>
      </w:r>
      <w:r w:rsidR="004846AF">
        <w:rPr>
          <w:rFonts w:cs="Times New Roman"/>
          <w:szCs w:val="28"/>
          <w:lang w:eastAsia="uk-UA"/>
        </w:rPr>
        <w:br/>
      </w:r>
      <w:r w:rsidR="000E7710" w:rsidRPr="004846AF">
        <w:rPr>
          <w:rFonts w:cs="Times New Roman"/>
          <w:szCs w:val="28"/>
          <w:lang w:eastAsia="uk-UA"/>
        </w:rPr>
        <w:t>частини першої статті 92, частинам другій, третій статті 124, частині першій статті 129, статтям 147, 150, 151</w:t>
      </w:r>
      <w:r w:rsidR="00F548BD" w:rsidRPr="004846AF">
        <w:rPr>
          <w:rFonts w:cs="Times New Roman"/>
          <w:szCs w:val="28"/>
          <w:vertAlign w:val="superscript"/>
          <w:lang w:eastAsia="uk-UA"/>
        </w:rPr>
        <w:t>2</w:t>
      </w:r>
      <w:r w:rsidR="00A822BC" w:rsidRPr="004846AF">
        <w:rPr>
          <w:rFonts w:cs="Times New Roman"/>
          <w:szCs w:val="28"/>
          <w:lang w:eastAsia="uk-UA"/>
        </w:rPr>
        <w:t xml:space="preserve"> Конституції України.</w:t>
      </w:r>
    </w:p>
    <w:p w14:paraId="48BDA921" w14:textId="6B50EFCE" w:rsidR="00F548BD" w:rsidRPr="004846AF" w:rsidRDefault="00F548BD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Обґрунтовуючи свою позицію щодо неконституційності оспорюваних приписів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 xml:space="preserve">796,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 xml:space="preserve">2262, Алексенко П.О. посилається на Конституцію України, Закон України </w:t>
      </w:r>
      <w:r w:rsidR="003B5543">
        <w:rPr>
          <w:rFonts w:cs="Times New Roman"/>
          <w:szCs w:val="28"/>
          <w:lang w:eastAsia="uk-UA"/>
        </w:rPr>
        <w:t>„</w:t>
      </w:r>
      <w:r w:rsidRPr="004846AF">
        <w:rPr>
          <w:rFonts w:cs="Times New Roman"/>
          <w:szCs w:val="28"/>
          <w:lang w:eastAsia="uk-UA"/>
        </w:rPr>
        <w:t xml:space="preserve">Про Конституційний Суд України“, Кодекс, Закон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 xml:space="preserve">796, Закон </w:t>
      </w:r>
      <w:r w:rsidR="007A34E4">
        <w:rPr>
          <w:rFonts w:cs="Times New Roman"/>
          <w:szCs w:val="28"/>
          <w:lang w:eastAsia="uk-UA"/>
        </w:rPr>
        <w:t xml:space="preserve">№ </w:t>
      </w:r>
      <w:r w:rsidRPr="004846AF">
        <w:rPr>
          <w:rFonts w:cs="Times New Roman"/>
          <w:szCs w:val="28"/>
          <w:lang w:eastAsia="uk-UA"/>
        </w:rPr>
        <w:t>2262,</w:t>
      </w:r>
      <w:r w:rsidR="0065286F" w:rsidRPr="004846AF">
        <w:rPr>
          <w:rFonts w:cs="Times New Roman"/>
          <w:szCs w:val="28"/>
          <w:lang w:eastAsia="uk-UA"/>
        </w:rPr>
        <w:t xml:space="preserve"> </w:t>
      </w:r>
      <w:r w:rsidRPr="004846AF">
        <w:rPr>
          <w:rFonts w:cs="Times New Roman"/>
          <w:szCs w:val="28"/>
          <w:lang w:eastAsia="uk-UA"/>
        </w:rPr>
        <w:t xml:space="preserve">Конвенцію про захист прав людини і основоположних свобод 1950 року, </w:t>
      </w:r>
      <w:r w:rsidR="00A822BC" w:rsidRPr="004846AF">
        <w:rPr>
          <w:rFonts w:cs="Times New Roman"/>
          <w:szCs w:val="28"/>
          <w:lang w:eastAsia="uk-UA"/>
        </w:rPr>
        <w:t>р</w:t>
      </w:r>
      <w:r w:rsidR="006279F4" w:rsidRPr="004846AF">
        <w:rPr>
          <w:rFonts w:cs="Times New Roman"/>
          <w:szCs w:val="28"/>
          <w:lang w:eastAsia="uk-UA"/>
        </w:rPr>
        <w:t>ішення Конституційного Суду України, рішення Європейського суду з прав людини, а також на судові рішення у своїй справі.</w:t>
      </w:r>
    </w:p>
    <w:p w14:paraId="36B07EE5" w14:textId="77777777" w:rsidR="006279F4" w:rsidRPr="004846AF" w:rsidRDefault="006279F4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</w:p>
    <w:p w14:paraId="6B572978" w14:textId="2FC17D5D" w:rsidR="001E6CAC" w:rsidRPr="004846AF" w:rsidRDefault="00C24E3B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2.2. У конституційній скарзі Алексенко П.О. заявив клопотання про поновлення строку подання конституційної скарги. Підставою для поновлення строків </w:t>
      </w:r>
      <w:r w:rsidR="00A822BC" w:rsidRPr="004846AF">
        <w:rPr>
          <w:rFonts w:cs="Times New Roman"/>
          <w:szCs w:val="28"/>
          <w:lang w:eastAsia="uk-UA"/>
        </w:rPr>
        <w:t>з</w:t>
      </w:r>
      <w:r w:rsidRPr="004846AF">
        <w:rPr>
          <w:rFonts w:cs="Times New Roman"/>
          <w:szCs w:val="28"/>
          <w:lang w:eastAsia="uk-UA"/>
        </w:rPr>
        <w:t>аявник вважає те, що повний текст постанови Великої Палати Верховного Суду від 21 квітня 2021 року він отримав після 13 травня 2021 року.</w:t>
      </w:r>
    </w:p>
    <w:p w14:paraId="472D3F4D" w14:textId="77777777" w:rsidR="001E6CAC" w:rsidRPr="004846AF" w:rsidRDefault="001E6CAC" w:rsidP="004846A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</w:p>
    <w:p w14:paraId="12A7D304" w14:textId="404F8EFC" w:rsidR="00CF04F8" w:rsidRPr="004846AF" w:rsidRDefault="001E6CAC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eastAsia="Arial Unicode MS"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 xml:space="preserve">3. </w:t>
      </w:r>
      <w:r w:rsidR="00CF04F8" w:rsidRPr="004846AF">
        <w:rPr>
          <w:rFonts w:eastAsia="Arial Unicode MS" w:cs="Times New Roman"/>
          <w:color w:val="000000"/>
          <w:szCs w:val="28"/>
          <w:lang w:eastAsia="uk-UA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3DE1D74C" w14:textId="77777777" w:rsidR="001E6CAC" w:rsidRPr="004846AF" w:rsidRDefault="001E6CAC" w:rsidP="004846AF">
      <w:pPr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8"/>
          <w:lang w:eastAsia="uk-UA"/>
        </w:rPr>
      </w:pPr>
    </w:p>
    <w:p w14:paraId="4B56FD12" w14:textId="368303DA" w:rsidR="00CF04F8" w:rsidRPr="004846AF" w:rsidRDefault="00CF04F8" w:rsidP="004846AF">
      <w:pPr>
        <w:spacing w:after="0" w:line="372" w:lineRule="auto"/>
        <w:ind w:firstLine="709"/>
        <w:jc w:val="both"/>
        <w:rPr>
          <w:rFonts w:eastAsia="Arial Unicode MS" w:cs="Times New Roman"/>
          <w:szCs w:val="28"/>
        </w:rPr>
      </w:pPr>
      <w:r w:rsidRPr="004846AF">
        <w:rPr>
          <w:rFonts w:eastAsia="Arial Unicode MS" w:cs="Times New Roman"/>
          <w:color w:val="000000"/>
          <w:szCs w:val="28"/>
          <w:lang w:eastAsia="uk-UA"/>
        </w:rPr>
        <w:t>3.1</w:t>
      </w:r>
      <w:r w:rsidR="00614813">
        <w:rPr>
          <w:rFonts w:eastAsia="Arial Unicode MS" w:cs="Times New Roman"/>
          <w:color w:val="000000"/>
          <w:szCs w:val="28"/>
          <w:lang w:val="ru-RU" w:eastAsia="uk-UA"/>
        </w:rPr>
        <w:t>.</w:t>
      </w:r>
      <w:r w:rsidRPr="004846AF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Pr="004846AF">
        <w:rPr>
          <w:rFonts w:eastAsia="Arial Unicode MS" w:cs="Times New Roman"/>
          <w:szCs w:val="28"/>
        </w:rPr>
        <w:t>Відповідно до статті 77 Закону України „Про Конституційний Суд України“ конституційна скарга вважається прийнятною за умов її відповідності вимогам, передбаченим статтями 55, 56 цього закону, та якщо</w:t>
      </w:r>
      <w:bookmarkStart w:id="3" w:name="n558"/>
      <w:bookmarkStart w:id="4" w:name="n559"/>
      <w:bookmarkEnd w:id="3"/>
      <w:bookmarkEnd w:id="4"/>
      <w:r w:rsidRPr="004846AF">
        <w:rPr>
          <w:rFonts w:eastAsia="Arial Unicode MS" w:cs="Times New Roman"/>
          <w:szCs w:val="28"/>
        </w:rPr>
        <w:t xml:space="preserve"> з дня набрання законної сили остаточним судовим рішенням, у якому застосовано закон України (його окремі положення), сплинуло не більше трьох місяців (</w:t>
      </w:r>
      <w:r w:rsidR="001010C1" w:rsidRPr="004846AF">
        <w:rPr>
          <w:rFonts w:eastAsia="Arial Unicode MS" w:cs="Times New Roman"/>
          <w:szCs w:val="28"/>
        </w:rPr>
        <w:t>абзац перший</w:t>
      </w:r>
      <w:r w:rsidR="009C02D8">
        <w:rPr>
          <w:rFonts w:eastAsia="Arial Unicode MS" w:cs="Times New Roman"/>
          <w:szCs w:val="28"/>
        </w:rPr>
        <w:t>,</w:t>
      </w:r>
      <w:r w:rsidR="001010C1" w:rsidRPr="004846AF">
        <w:rPr>
          <w:rFonts w:eastAsia="Arial Unicode MS" w:cs="Times New Roman"/>
          <w:szCs w:val="28"/>
        </w:rPr>
        <w:t xml:space="preserve"> </w:t>
      </w:r>
      <w:r w:rsidRPr="004846AF">
        <w:rPr>
          <w:rFonts w:eastAsia="Arial Unicode MS" w:cs="Times New Roman"/>
          <w:szCs w:val="28"/>
        </w:rPr>
        <w:t>пункт</w:t>
      </w:r>
      <w:r w:rsidR="004846AF">
        <w:rPr>
          <w:rFonts w:eastAsia="Arial Unicode MS" w:cs="Times New Roman"/>
          <w:szCs w:val="28"/>
        </w:rPr>
        <w:t xml:space="preserve"> </w:t>
      </w:r>
      <w:r w:rsidRPr="004846AF">
        <w:rPr>
          <w:rFonts w:eastAsia="Arial Unicode MS" w:cs="Times New Roman"/>
          <w:szCs w:val="28"/>
        </w:rPr>
        <w:t xml:space="preserve">2 частини першої); </w:t>
      </w:r>
      <w:bookmarkStart w:id="5" w:name="n560"/>
      <w:bookmarkEnd w:id="5"/>
      <w:r w:rsidRPr="004846AF">
        <w:rPr>
          <w:rFonts w:eastAsia="Arial Unicode MS" w:cs="Times New Roman"/>
          <w:szCs w:val="28"/>
        </w:rPr>
        <w:t xml:space="preserve">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</w:t>
      </w:r>
      <w:bookmarkStart w:id="6" w:name="n561"/>
      <w:bookmarkEnd w:id="6"/>
      <w:r w:rsidRPr="004846AF">
        <w:rPr>
          <w:rFonts w:eastAsia="Arial Unicode MS" w:cs="Times New Roman"/>
          <w:szCs w:val="28"/>
        </w:rPr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14:paraId="61513F66" w14:textId="04D9163A" w:rsidR="00CF04F8" w:rsidRPr="004846AF" w:rsidRDefault="00E1337C" w:rsidP="004846AF">
      <w:pPr>
        <w:spacing w:after="0" w:line="372" w:lineRule="auto"/>
        <w:ind w:firstLine="709"/>
        <w:jc w:val="both"/>
        <w:rPr>
          <w:rFonts w:eastAsia="HiddenHorzOCR" w:cs="Times New Roman"/>
          <w:szCs w:val="28"/>
        </w:rPr>
      </w:pPr>
      <w:r w:rsidRPr="004846AF">
        <w:rPr>
          <w:rFonts w:eastAsia="HiddenHorzOCR" w:cs="Times New Roman"/>
          <w:szCs w:val="28"/>
        </w:rPr>
        <w:t>Третя колегія суддів Другого сенату Конституційного Суду України з огляду на доводи</w:t>
      </w:r>
      <w:r w:rsidR="0087396D" w:rsidRPr="004846AF">
        <w:rPr>
          <w:rFonts w:eastAsia="HiddenHorzOCR" w:cs="Times New Roman"/>
          <w:szCs w:val="28"/>
        </w:rPr>
        <w:t>,</w:t>
      </w:r>
      <w:r w:rsidRPr="004846AF">
        <w:rPr>
          <w:rFonts w:eastAsia="HiddenHorzOCR" w:cs="Times New Roman"/>
          <w:szCs w:val="28"/>
        </w:rPr>
        <w:t xml:space="preserve"> наведені суб’єктом права на конституційну скаргу</w:t>
      </w:r>
      <w:r w:rsidR="0087396D" w:rsidRPr="004846AF">
        <w:rPr>
          <w:rFonts w:eastAsia="HiddenHorzOCR" w:cs="Times New Roman"/>
          <w:szCs w:val="28"/>
        </w:rPr>
        <w:t>, вирішуючи питання про поновлення пропущеного строку,</w:t>
      </w:r>
      <w:r w:rsidR="00CF04F8" w:rsidRPr="004846AF">
        <w:rPr>
          <w:rFonts w:eastAsia="HiddenHorzOCR" w:cs="Times New Roman"/>
          <w:szCs w:val="28"/>
        </w:rPr>
        <w:t xml:space="preserve"> вважає, що </w:t>
      </w:r>
      <w:r w:rsidR="0087396D" w:rsidRPr="004846AF">
        <w:rPr>
          <w:rFonts w:eastAsia="HiddenHorzOCR" w:cs="Times New Roman"/>
          <w:szCs w:val="28"/>
        </w:rPr>
        <w:t>він</w:t>
      </w:r>
      <w:r w:rsidR="00CF04F8" w:rsidRPr="004846AF">
        <w:rPr>
          <w:rFonts w:eastAsia="HiddenHorzOCR" w:cs="Times New Roman"/>
          <w:szCs w:val="28"/>
        </w:rPr>
        <w:t xml:space="preserve"> підлягає поновленню.</w:t>
      </w:r>
    </w:p>
    <w:p w14:paraId="711307FE" w14:textId="4943DDCF" w:rsidR="00CF04F8" w:rsidRPr="004846AF" w:rsidRDefault="00CF04F8" w:rsidP="004846AF">
      <w:pPr>
        <w:spacing w:after="0" w:line="240" w:lineRule="auto"/>
        <w:ind w:firstLine="709"/>
        <w:jc w:val="both"/>
        <w:rPr>
          <w:rFonts w:eastAsia="HiddenHorzOCR" w:cs="Times New Roman"/>
          <w:szCs w:val="28"/>
        </w:rPr>
      </w:pPr>
    </w:p>
    <w:p w14:paraId="59F3A697" w14:textId="77777777" w:rsidR="007A34E4" w:rsidRDefault="00CF04F8" w:rsidP="004846AF">
      <w:pPr>
        <w:spacing w:after="0" w:line="37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6AF">
        <w:rPr>
          <w:rFonts w:eastAsia="HiddenHorzOCR" w:cs="Times New Roman"/>
          <w:szCs w:val="28"/>
        </w:rPr>
        <w:t xml:space="preserve">3.2. </w:t>
      </w:r>
      <w:r w:rsidR="00823C32" w:rsidRPr="004846AF">
        <w:rPr>
          <w:rFonts w:eastAsia="Times New Roman" w:cs="Times New Roman"/>
          <w:color w:val="000000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</w:t>
      </w:r>
      <w:r w:rsidR="004846AF">
        <w:rPr>
          <w:rFonts w:eastAsia="Times New Roman" w:cs="Times New Roman"/>
          <w:color w:val="000000"/>
          <w:szCs w:val="28"/>
          <w:lang w:eastAsia="uk-UA"/>
        </w:rPr>
        <w:t>чить Конституції України</w:t>
      </w:r>
      <w:r w:rsidR="004846AF">
        <w:rPr>
          <w:rFonts w:eastAsia="Times New Roman" w:cs="Times New Roman"/>
          <w:color w:val="000000"/>
          <w:szCs w:val="28"/>
          <w:lang w:eastAsia="uk-UA"/>
        </w:rPr>
        <w:br/>
        <w:t xml:space="preserve">(абзац </w:t>
      </w:r>
      <w:r w:rsidR="00823C32" w:rsidRPr="004846AF">
        <w:rPr>
          <w:rFonts w:eastAsia="Times New Roman" w:cs="Times New Roman"/>
          <w:color w:val="000000"/>
          <w:szCs w:val="28"/>
          <w:lang w:eastAsia="uk-UA"/>
        </w:rPr>
        <w:t>п</w:t>
      </w:r>
      <w:r w:rsidR="00DD7C59" w:rsidRPr="004846AF">
        <w:rPr>
          <w:rFonts w:eastAsia="Times New Roman" w:cs="Times New Roman"/>
          <w:color w:val="000000"/>
          <w:szCs w:val="28"/>
          <w:lang w:eastAsia="uk-UA"/>
        </w:rPr>
        <w:t>ерший частини першої статті 56).</w:t>
      </w:r>
    </w:p>
    <w:p w14:paraId="1849D798" w14:textId="77777777" w:rsidR="007A34E4" w:rsidRDefault="00823C32" w:rsidP="004846AF">
      <w:pPr>
        <w:spacing w:after="0" w:line="372" w:lineRule="auto"/>
        <w:ind w:firstLine="709"/>
        <w:jc w:val="both"/>
        <w:rPr>
          <w:rFonts w:cs="Times New Roman"/>
          <w:szCs w:val="28"/>
          <w:lang w:eastAsia="uk-UA"/>
        </w:rPr>
      </w:pPr>
      <w:r w:rsidRPr="004846AF">
        <w:rPr>
          <w:rFonts w:eastAsia="Times New Roman" w:cs="Times New Roman"/>
          <w:szCs w:val="28"/>
          <w:lang w:eastAsia="ru-RU"/>
        </w:rPr>
        <w:t xml:space="preserve">Зі змісту конституційної скарги та долучених до неї матеріалів вбачається, що </w:t>
      </w:r>
      <w:r w:rsidR="00214FE9" w:rsidRPr="004846AF">
        <w:rPr>
          <w:rFonts w:eastAsia="Times New Roman" w:cs="Times New Roman"/>
          <w:szCs w:val="28"/>
          <w:lang w:eastAsia="ru-RU"/>
        </w:rPr>
        <w:t xml:space="preserve">судовим рішенням, яким відмовлено </w:t>
      </w:r>
      <w:r w:rsidR="008A1D53" w:rsidRPr="004846AF">
        <w:rPr>
          <w:rFonts w:eastAsia="Times New Roman" w:cs="Times New Roman"/>
          <w:szCs w:val="28"/>
          <w:lang w:eastAsia="ru-RU"/>
        </w:rPr>
        <w:t xml:space="preserve">у </w:t>
      </w:r>
      <w:r w:rsidR="00214FE9" w:rsidRPr="004846AF">
        <w:rPr>
          <w:rFonts w:eastAsia="Times New Roman" w:cs="Times New Roman"/>
          <w:szCs w:val="28"/>
          <w:lang w:eastAsia="ru-RU"/>
        </w:rPr>
        <w:t>задоволенні апеляці</w:t>
      </w:r>
      <w:r w:rsidR="000125B6" w:rsidRPr="004846AF">
        <w:rPr>
          <w:rFonts w:eastAsia="Times New Roman" w:cs="Times New Roman"/>
          <w:szCs w:val="28"/>
          <w:lang w:eastAsia="ru-RU"/>
        </w:rPr>
        <w:t xml:space="preserve">йної скарги </w:t>
      </w:r>
      <w:r w:rsidR="00080CB3" w:rsidRPr="004846AF">
        <w:rPr>
          <w:rFonts w:eastAsia="Times New Roman" w:cs="Times New Roman"/>
          <w:szCs w:val="28"/>
          <w:lang w:eastAsia="ru-RU"/>
        </w:rPr>
        <w:t>Алексенка П.О.</w:t>
      </w:r>
      <w:r w:rsidR="003B5543">
        <w:rPr>
          <w:rFonts w:eastAsia="Times New Roman" w:cs="Times New Roman"/>
          <w:szCs w:val="28"/>
          <w:lang w:eastAsia="ru-RU"/>
        </w:rPr>
        <w:t>,</w:t>
      </w:r>
      <w:r w:rsidRPr="004846AF">
        <w:rPr>
          <w:rFonts w:eastAsia="Times New Roman" w:cs="Times New Roman"/>
          <w:szCs w:val="28"/>
          <w:lang w:eastAsia="ru-RU"/>
        </w:rPr>
        <w:t xml:space="preserve"> є постанова Великої </w:t>
      </w:r>
      <w:r w:rsidR="009C02D8">
        <w:rPr>
          <w:rFonts w:eastAsia="Times New Roman" w:cs="Times New Roman"/>
          <w:szCs w:val="28"/>
          <w:lang w:eastAsia="ru-RU"/>
        </w:rPr>
        <w:t>П</w:t>
      </w:r>
      <w:r w:rsidR="0087396D" w:rsidRPr="004846AF">
        <w:rPr>
          <w:rFonts w:eastAsia="Times New Roman" w:cs="Times New Roman"/>
          <w:szCs w:val="28"/>
          <w:lang w:eastAsia="ru-RU"/>
        </w:rPr>
        <w:t xml:space="preserve">алати </w:t>
      </w:r>
      <w:r w:rsidRPr="004846AF">
        <w:rPr>
          <w:rFonts w:eastAsia="Times New Roman" w:cs="Times New Roman"/>
          <w:szCs w:val="28"/>
          <w:lang w:eastAsia="ru-RU"/>
        </w:rPr>
        <w:t xml:space="preserve">Верховного Суду від </w:t>
      </w:r>
      <w:r w:rsidR="004846AF">
        <w:rPr>
          <w:rFonts w:cs="Times New Roman"/>
          <w:szCs w:val="28"/>
          <w:lang w:eastAsia="uk-UA"/>
        </w:rPr>
        <w:t>21 квітня</w:t>
      </w:r>
      <w:r w:rsidR="004846AF">
        <w:rPr>
          <w:rFonts w:cs="Times New Roman"/>
          <w:szCs w:val="28"/>
          <w:lang w:eastAsia="uk-UA"/>
        </w:rPr>
        <w:br/>
        <w:t xml:space="preserve">2021 </w:t>
      </w:r>
      <w:r w:rsidRPr="004846AF">
        <w:rPr>
          <w:rFonts w:cs="Times New Roman"/>
          <w:szCs w:val="28"/>
          <w:lang w:eastAsia="uk-UA"/>
        </w:rPr>
        <w:t>року.</w:t>
      </w:r>
    </w:p>
    <w:p w14:paraId="6D21B1DB" w14:textId="734AD13C" w:rsidR="00897341" w:rsidRPr="004846AF" w:rsidRDefault="009C02D8" w:rsidP="004846AF">
      <w:pPr>
        <w:spacing w:after="0" w:line="372" w:lineRule="auto"/>
        <w:ind w:firstLine="709"/>
        <w:jc w:val="both"/>
        <w:rPr>
          <w:rFonts w:cs="Times New Roman"/>
          <w:szCs w:val="28"/>
          <w:lang w:eastAsia="uk-UA"/>
        </w:rPr>
      </w:pPr>
      <w:r>
        <w:rPr>
          <w:rFonts w:cs="Times New Roman"/>
          <w:szCs w:val="28"/>
          <w:lang w:eastAsia="uk-UA"/>
        </w:rPr>
        <w:t>Судове р</w:t>
      </w:r>
      <w:r w:rsidR="00616703" w:rsidRPr="004846AF">
        <w:rPr>
          <w:rFonts w:cs="Times New Roman"/>
          <w:szCs w:val="28"/>
          <w:lang w:eastAsia="uk-UA"/>
        </w:rPr>
        <w:t xml:space="preserve">ішення Великої </w:t>
      </w:r>
      <w:r w:rsidR="002A6CA5" w:rsidRPr="004846AF">
        <w:rPr>
          <w:rFonts w:cs="Times New Roman"/>
          <w:szCs w:val="28"/>
          <w:lang w:eastAsia="uk-UA"/>
        </w:rPr>
        <w:t xml:space="preserve">Палати </w:t>
      </w:r>
      <w:r w:rsidR="00616703" w:rsidRPr="004846AF">
        <w:rPr>
          <w:rFonts w:cs="Times New Roman"/>
          <w:szCs w:val="28"/>
          <w:lang w:eastAsia="uk-UA"/>
        </w:rPr>
        <w:t>Верховного Суду є остаточним у справі Алексенка</w:t>
      </w:r>
      <w:r w:rsidR="004846AF" w:rsidRPr="004846AF">
        <w:rPr>
          <w:rFonts w:cs="Times New Roman"/>
          <w:szCs w:val="28"/>
          <w:lang w:eastAsia="uk-UA"/>
        </w:rPr>
        <w:t xml:space="preserve"> </w:t>
      </w:r>
      <w:r w:rsidR="00616703" w:rsidRPr="004846AF">
        <w:rPr>
          <w:rFonts w:cs="Times New Roman"/>
          <w:szCs w:val="28"/>
          <w:lang w:eastAsia="uk-UA"/>
        </w:rPr>
        <w:t>П.О., о</w:t>
      </w:r>
      <w:r w:rsidR="00897341" w:rsidRPr="004846AF">
        <w:rPr>
          <w:rFonts w:cs="Times New Roman"/>
          <w:szCs w:val="28"/>
          <w:lang w:eastAsia="uk-UA"/>
        </w:rPr>
        <w:t>скільки згідно</w:t>
      </w:r>
      <w:r w:rsidR="003B5543">
        <w:rPr>
          <w:rFonts w:cs="Times New Roman"/>
          <w:szCs w:val="28"/>
          <w:lang w:eastAsia="uk-UA"/>
        </w:rPr>
        <w:t xml:space="preserve"> з</w:t>
      </w:r>
      <w:r w:rsidR="00897341" w:rsidRPr="004846AF">
        <w:rPr>
          <w:rFonts w:cs="Times New Roman"/>
          <w:szCs w:val="28"/>
          <w:lang w:eastAsia="uk-UA"/>
        </w:rPr>
        <w:t xml:space="preserve"> пункт</w:t>
      </w:r>
      <w:r w:rsidR="003B5543">
        <w:rPr>
          <w:rFonts w:cs="Times New Roman"/>
          <w:szCs w:val="28"/>
          <w:lang w:eastAsia="uk-UA"/>
        </w:rPr>
        <w:t>ом</w:t>
      </w:r>
      <w:r w:rsidR="00897341" w:rsidRPr="004846AF">
        <w:rPr>
          <w:rFonts w:cs="Times New Roman"/>
          <w:szCs w:val="28"/>
          <w:lang w:eastAsia="uk-UA"/>
        </w:rPr>
        <w:t xml:space="preserve"> 1 частини п’ятої статті 328 Кодексу постанов</w:t>
      </w:r>
      <w:r w:rsidR="00F91408" w:rsidRPr="004846AF">
        <w:rPr>
          <w:rFonts w:cs="Times New Roman"/>
          <w:szCs w:val="28"/>
          <w:lang w:eastAsia="uk-UA"/>
        </w:rPr>
        <w:t>а</w:t>
      </w:r>
      <w:r w:rsidR="00897341" w:rsidRPr="004846AF">
        <w:rPr>
          <w:rFonts w:cs="Times New Roman"/>
          <w:szCs w:val="28"/>
          <w:lang w:eastAsia="uk-UA"/>
        </w:rPr>
        <w:t xml:space="preserve"> суду апеляційної інстанції у справах, рішення у яких підлягають перегляду в апеля</w:t>
      </w:r>
      <w:r w:rsidR="008B6513" w:rsidRPr="004846AF">
        <w:rPr>
          <w:rFonts w:cs="Times New Roman"/>
          <w:szCs w:val="28"/>
          <w:lang w:eastAsia="uk-UA"/>
        </w:rPr>
        <w:t>ційному порядку Верховним Судом</w:t>
      </w:r>
      <w:r w:rsidR="00A0420E" w:rsidRPr="004846AF">
        <w:rPr>
          <w:rFonts w:cs="Times New Roman"/>
          <w:szCs w:val="28"/>
          <w:lang w:eastAsia="uk-UA"/>
        </w:rPr>
        <w:t>,</w:t>
      </w:r>
      <w:r w:rsidR="008B6513" w:rsidRPr="004846AF">
        <w:rPr>
          <w:rFonts w:cs="Times New Roman"/>
          <w:szCs w:val="28"/>
          <w:lang w:eastAsia="uk-UA"/>
        </w:rPr>
        <w:t xml:space="preserve"> не підлягає касаційному оскарженню</w:t>
      </w:r>
      <w:r w:rsidR="003B35E1" w:rsidRPr="004846AF">
        <w:rPr>
          <w:rFonts w:cs="Times New Roman"/>
          <w:szCs w:val="28"/>
          <w:lang w:eastAsia="uk-UA"/>
        </w:rPr>
        <w:t>.</w:t>
      </w:r>
    </w:p>
    <w:p w14:paraId="72E36D60" w14:textId="4CD58C52" w:rsidR="008A4BBB" w:rsidRPr="004846AF" w:rsidRDefault="00616703" w:rsidP="004846AF">
      <w:pPr>
        <w:spacing w:after="0" w:line="372" w:lineRule="auto"/>
        <w:ind w:firstLine="709"/>
        <w:jc w:val="both"/>
        <w:rPr>
          <w:rFonts w:cs="Times New Roman"/>
          <w:szCs w:val="28"/>
          <w:lang w:eastAsia="uk-UA"/>
        </w:rPr>
      </w:pPr>
      <w:r w:rsidRPr="004846AF">
        <w:rPr>
          <w:rFonts w:cs="Times New Roman"/>
          <w:szCs w:val="28"/>
          <w:lang w:eastAsia="uk-UA"/>
        </w:rPr>
        <w:t>З огляду на те</w:t>
      </w:r>
      <w:r w:rsidR="003B35E1" w:rsidRPr="004846AF">
        <w:rPr>
          <w:rFonts w:cs="Times New Roman"/>
          <w:szCs w:val="28"/>
          <w:lang w:eastAsia="uk-UA"/>
        </w:rPr>
        <w:t>, що п</w:t>
      </w:r>
      <w:r w:rsidR="00823C32" w:rsidRPr="004846AF">
        <w:rPr>
          <w:rFonts w:cs="Times New Roman"/>
          <w:szCs w:val="28"/>
          <w:lang w:eastAsia="uk-UA"/>
        </w:rPr>
        <w:t xml:space="preserve">риписи статей 11, 21 Закону </w:t>
      </w:r>
      <w:r w:rsidR="007A34E4">
        <w:rPr>
          <w:rFonts w:cs="Times New Roman"/>
          <w:szCs w:val="28"/>
          <w:lang w:eastAsia="uk-UA"/>
        </w:rPr>
        <w:t xml:space="preserve">№ </w:t>
      </w:r>
      <w:r w:rsidR="00823C32" w:rsidRPr="004846AF">
        <w:rPr>
          <w:rFonts w:cs="Times New Roman"/>
          <w:szCs w:val="28"/>
          <w:lang w:eastAsia="uk-UA"/>
        </w:rPr>
        <w:t xml:space="preserve">2262 </w:t>
      </w:r>
      <w:r w:rsidR="00080CB3" w:rsidRPr="004846AF">
        <w:rPr>
          <w:rFonts w:cs="Times New Roman"/>
          <w:szCs w:val="28"/>
          <w:lang w:eastAsia="uk-UA"/>
        </w:rPr>
        <w:t xml:space="preserve">не були застосовані </w:t>
      </w:r>
      <w:r w:rsidR="00D222C2" w:rsidRPr="004846AF">
        <w:rPr>
          <w:rFonts w:cs="Times New Roman"/>
          <w:szCs w:val="28"/>
          <w:lang w:eastAsia="uk-UA"/>
        </w:rPr>
        <w:t>у вказаному судовому рішенні</w:t>
      </w:r>
      <w:r w:rsidR="00DD7C59" w:rsidRPr="004846AF">
        <w:rPr>
          <w:rFonts w:cs="Times New Roman"/>
          <w:szCs w:val="28"/>
          <w:lang w:eastAsia="uk-UA"/>
        </w:rPr>
        <w:t xml:space="preserve">, </w:t>
      </w:r>
      <w:r w:rsidR="00532BDC" w:rsidRPr="004846AF">
        <w:rPr>
          <w:rFonts w:cs="Times New Roman"/>
          <w:szCs w:val="28"/>
          <w:lang w:eastAsia="uk-UA"/>
        </w:rPr>
        <w:t>є</w:t>
      </w:r>
      <w:r w:rsidR="00DD7C59" w:rsidRPr="004846AF">
        <w:rPr>
          <w:rFonts w:cs="Times New Roman"/>
          <w:szCs w:val="28"/>
          <w:lang w:eastAsia="uk-UA"/>
        </w:rPr>
        <w:t xml:space="preserve"> підстав</w:t>
      </w:r>
      <w:r w:rsidR="00CA74AF" w:rsidRPr="004846AF">
        <w:rPr>
          <w:rFonts w:cs="Times New Roman"/>
          <w:szCs w:val="28"/>
          <w:lang w:eastAsia="uk-UA"/>
        </w:rPr>
        <w:t>а</w:t>
      </w:r>
      <w:r w:rsidR="00DD7C59" w:rsidRPr="004846AF">
        <w:rPr>
          <w:rFonts w:cs="Times New Roman"/>
          <w:szCs w:val="28"/>
          <w:lang w:eastAsia="uk-UA"/>
        </w:rPr>
        <w:t xml:space="preserve"> для відмови у відкритті конституційного провадження </w:t>
      </w:r>
      <w:r w:rsidR="00532BDC" w:rsidRPr="004846AF">
        <w:rPr>
          <w:rFonts w:cs="Times New Roman"/>
          <w:szCs w:val="28"/>
          <w:lang w:eastAsia="uk-UA"/>
        </w:rPr>
        <w:t xml:space="preserve">у справі </w:t>
      </w:r>
      <w:r w:rsidR="00DD7C59" w:rsidRPr="004846AF">
        <w:rPr>
          <w:rFonts w:cs="Times New Roman"/>
          <w:szCs w:val="28"/>
          <w:lang w:eastAsia="uk-UA"/>
        </w:rPr>
        <w:t>в цій частині відповідно до пункту 1 статті 62 Закону України „Про Конституційний Суд України“ – звернення до Конституційного Суду України неналежним суб’єктом.</w:t>
      </w:r>
    </w:p>
    <w:p w14:paraId="279F8585" w14:textId="77777777" w:rsidR="007960EA" w:rsidRPr="004846AF" w:rsidRDefault="007960EA" w:rsidP="004846AF">
      <w:pPr>
        <w:spacing w:after="0" w:line="240" w:lineRule="auto"/>
        <w:ind w:firstLine="709"/>
        <w:jc w:val="both"/>
        <w:rPr>
          <w:rFonts w:cs="Times New Roman"/>
          <w:szCs w:val="28"/>
          <w:lang w:eastAsia="uk-UA"/>
        </w:rPr>
      </w:pPr>
    </w:p>
    <w:p w14:paraId="668C628E" w14:textId="6C6B7095" w:rsidR="008A4BBB" w:rsidRPr="004846AF" w:rsidRDefault="00675770" w:rsidP="004846AF">
      <w:pPr>
        <w:pStyle w:val="ac"/>
        <w:widowControl/>
        <w:shd w:val="clear" w:color="auto" w:fill="auto"/>
        <w:spacing w:after="0" w:line="372" w:lineRule="auto"/>
        <w:ind w:firstLine="709"/>
        <w:jc w:val="both"/>
        <w:rPr>
          <w:color w:val="000000"/>
          <w:sz w:val="28"/>
          <w:szCs w:val="28"/>
        </w:rPr>
      </w:pPr>
      <w:r w:rsidRPr="004846AF">
        <w:rPr>
          <w:color w:val="000000"/>
          <w:sz w:val="28"/>
          <w:szCs w:val="28"/>
        </w:rPr>
        <w:t xml:space="preserve">3.3. </w:t>
      </w:r>
      <w:r w:rsidR="008A4BBB" w:rsidRPr="004846AF">
        <w:rPr>
          <w:color w:val="000000"/>
          <w:sz w:val="28"/>
          <w:szCs w:val="28"/>
        </w:rPr>
        <w:t xml:space="preserve">Згідно </w:t>
      </w:r>
      <w:r w:rsidR="003B5543">
        <w:rPr>
          <w:color w:val="000000"/>
          <w:sz w:val="28"/>
          <w:szCs w:val="28"/>
        </w:rPr>
        <w:t>і</w:t>
      </w:r>
      <w:r w:rsidR="008A4BBB" w:rsidRPr="004846AF">
        <w:rPr>
          <w:color w:val="000000"/>
          <w:sz w:val="28"/>
          <w:szCs w:val="28"/>
        </w:rPr>
        <w:t>з Законом України „Про Конституційний Суд України“ у конституційній скарзі має міститися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r w:rsidR="007960EA" w:rsidRPr="004846AF">
        <w:rPr>
          <w:color w:val="000000"/>
          <w:sz w:val="28"/>
          <w:szCs w:val="28"/>
        </w:rPr>
        <w:t>кт 6 частини другої статті 55)</w:t>
      </w:r>
      <w:r w:rsidR="008A4BBB" w:rsidRPr="004846AF">
        <w:rPr>
          <w:color w:val="000000"/>
          <w:sz w:val="28"/>
          <w:szCs w:val="28"/>
        </w:rPr>
        <w:t>.</w:t>
      </w:r>
    </w:p>
    <w:p w14:paraId="29681747" w14:textId="1CC7C8F3" w:rsidR="00CA74AF" w:rsidRPr="004846AF" w:rsidRDefault="00532BDC" w:rsidP="004846AF">
      <w:pPr>
        <w:pStyle w:val="ac"/>
        <w:widowControl/>
        <w:shd w:val="clear" w:color="auto" w:fill="auto"/>
        <w:spacing w:after="0" w:line="372" w:lineRule="auto"/>
        <w:ind w:firstLine="709"/>
        <w:jc w:val="both"/>
        <w:rPr>
          <w:color w:val="000000"/>
          <w:sz w:val="28"/>
          <w:szCs w:val="28"/>
        </w:rPr>
      </w:pPr>
      <w:r w:rsidRPr="004846AF">
        <w:rPr>
          <w:color w:val="000000"/>
          <w:sz w:val="28"/>
          <w:szCs w:val="28"/>
        </w:rPr>
        <w:t>Проте</w:t>
      </w:r>
      <w:r w:rsidR="00CA74AF" w:rsidRPr="004846AF">
        <w:rPr>
          <w:color w:val="000000"/>
          <w:sz w:val="28"/>
          <w:szCs w:val="28"/>
        </w:rPr>
        <w:t xml:space="preserve"> у конституційній скарзі </w:t>
      </w:r>
      <w:r w:rsidRPr="004846AF">
        <w:rPr>
          <w:color w:val="000000"/>
          <w:sz w:val="28"/>
          <w:szCs w:val="28"/>
        </w:rPr>
        <w:t>не вказано</w:t>
      </w:r>
      <w:r w:rsidR="00CA74AF" w:rsidRPr="004846AF">
        <w:rPr>
          <w:color w:val="000000"/>
          <w:sz w:val="28"/>
          <w:szCs w:val="28"/>
        </w:rPr>
        <w:t xml:space="preserve">, яке з гарантованих Конституцією України прав людини, на думку суб’єкта права на конституційну скаргу, зазнало порушення внаслідок застосування </w:t>
      </w:r>
      <w:r w:rsidRPr="004846AF">
        <w:rPr>
          <w:color w:val="000000"/>
          <w:sz w:val="28"/>
          <w:szCs w:val="28"/>
        </w:rPr>
        <w:t xml:space="preserve">Закону </w:t>
      </w:r>
      <w:r w:rsidR="007A34E4">
        <w:rPr>
          <w:color w:val="000000"/>
          <w:sz w:val="28"/>
          <w:szCs w:val="28"/>
        </w:rPr>
        <w:t xml:space="preserve">№ </w:t>
      </w:r>
      <w:r w:rsidR="00CA74AF" w:rsidRPr="004846AF">
        <w:rPr>
          <w:color w:val="000000"/>
          <w:sz w:val="28"/>
          <w:szCs w:val="28"/>
        </w:rPr>
        <w:t>7</w:t>
      </w:r>
      <w:r w:rsidR="002A6CA5" w:rsidRPr="004846AF">
        <w:rPr>
          <w:color w:val="000000"/>
          <w:sz w:val="28"/>
          <w:szCs w:val="28"/>
        </w:rPr>
        <w:t>96</w:t>
      </w:r>
      <w:r w:rsidR="00CA74AF" w:rsidRPr="004846AF">
        <w:rPr>
          <w:color w:val="000000"/>
          <w:sz w:val="28"/>
          <w:szCs w:val="28"/>
        </w:rPr>
        <w:t>.</w:t>
      </w:r>
    </w:p>
    <w:p w14:paraId="3E1FEE31" w14:textId="77777777" w:rsidR="007A34E4" w:rsidRDefault="008C70BB" w:rsidP="004846AF">
      <w:pPr>
        <w:pStyle w:val="ac"/>
        <w:widowControl/>
        <w:shd w:val="clear" w:color="auto" w:fill="auto"/>
        <w:spacing w:after="0" w:line="372" w:lineRule="auto"/>
        <w:ind w:firstLine="709"/>
        <w:jc w:val="both"/>
        <w:rPr>
          <w:color w:val="000000"/>
          <w:sz w:val="28"/>
          <w:szCs w:val="28"/>
        </w:rPr>
      </w:pPr>
      <w:r w:rsidRPr="004846AF">
        <w:rPr>
          <w:color w:val="000000"/>
          <w:sz w:val="28"/>
          <w:szCs w:val="28"/>
        </w:rPr>
        <w:t xml:space="preserve">У конституційній скарзі </w:t>
      </w:r>
      <w:r w:rsidR="007960EA" w:rsidRPr="004846AF">
        <w:rPr>
          <w:color w:val="000000"/>
          <w:sz w:val="28"/>
          <w:szCs w:val="28"/>
        </w:rPr>
        <w:t xml:space="preserve">Алексенко П.О. </w:t>
      </w:r>
      <w:r w:rsidRPr="004846AF">
        <w:rPr>
          <w:color w:val="000000"/>
          <w:sz w:val="28"/>
          <w:szCs w:val="28"/>
        </w:rPr>
        <w:t>цитує припис</w:t>
      </w:r>
      <w:r w:rsidR="007960EA" w:rsidRPr="004846AF">
        <w:rPr>
          <w:color w:val="000000"/>
          <w:sz w:val="28"/>
          <w:szCs w:val="28"/>
        </w:rPr>
        <w:t xml:space="preserve"> частини другої статті 8 Закону України „Про Конституційний Суд України“, </w:t>
      </w:r>
      <w:r w:rsidR="009A3844" w:rsidRPr="004846AF">
        <w:rPr>
          <w:color w:val="000000"/>
          <w:sz w:val="28"/>
          <w:szCs w:val="28"/>
        </w:rPr>
        <w:t>юридичн</w:t>
      </w:r>
      <w:r w:rsidRPr="004846AF">
        <w:rPr>
          <w:color w:val="000000"/>
          <w:sz w:val="28"/>
          <w:szCs w:val="28"/>
        </w:rPr>
        <w:t>і</w:t>
      </w:r>
      <w:r w:rsidR="009A3844" w:rsidRPr="004846AF">
        <w:rPr>
          <w:color w:val="000000"/>
          <w:sz w:val="28"/>
          <w:szCs w:val="28"/>
        </w:rPr>
        <w:t xml:space="preserve"> позиці</w:t>
      </w:r>
      <w:r w:rsidRPr="004846AF">
        <w:rPr>
          <w:color w:val="000000"/>
          <w:sz w:val="28"/>
          <w:szCs w:val="28"/>
        </w:rPr>
        <w:t>ї</w:t>
      </w:r>
      <w:r w:rsidR="009A3844" w:rsidRPr="004846AF">
        <w:rPr>
          <w:color w:val="000000"/>
          <w:sz w:val="28"/>
          <w:szCs w:val="28"/>
        </w:rPr>
        <w:t xml:space="preserve"> Конституційного Суду України, висловлен</w:t>
      </w:r>
      <w:r w:rsidR="00532BDC" w:rsidRPr="004846AF">
        <w:rPr>
          <w:color w:val="000000"/>
          <w:sz w:val="28"/>
          <w:szCs w:val="28"/>
        </w:rPr>
        <w:t>і ним</w:t>
      </w:r>
      <w:r w:rsidR="009A3844" w:rsidRPr="004846AF">
        <w:rPr>
          <w:color w:val="000000"/>
          <w:sz w:val="28"/>
          <w:szCs w:val="28"/>
        </w:rPr>
        <w:t xml:space="preserve"> у рішеннях від </w:t>
      </w:r>
      <w:r w:rsidR="004846AF">
        <w:rPr>
          <w:color w:val="000000"/>
          <w:sz w:val="28"/>
          <w:szCs w:val="28"/>
        </w:rPr>
        <w:t>17 липня</w:t>
      </w:r>
      <w:r w:rsidR="004846AF">
        <w:rPr>
          <w:color w:val="000000"/>
          <w:sz w:val="28"/>
          <w:szCs w:val="28"/>
        </w:rPr>
        <w:br/>
        <w:t xml:space="preserve">2018 </w:t>
      </w:r>
      <w:r w:rsidR="009A3844" w:rsidRPr="004846AF">
        <w:rPr>
          <w:color w:val="000000"/>
          <w:sz w:val="28"/>
          <w:szCs w:val="28"/>
        </w:rPr>
        <w:t xml:space="preserve">року </w:t>
      </w:r>
      <w:r w:rsidR="007A34E4">
        <w:rPr>
          <w:color w:val="000000"/>
          <w:sz w:val="28"/>
          <w:szCs w:val="28"/>
        </w:rPr>
        <w:t xml:space="preserve">№ </w:t>
      </w:r>
      <w:r w:rsidR="009A3844" w:rsidRPr="004846AF">
        <w:rPr>
          <w:color w:val="000000"/>
          <w:sz w:val="28"/>
          <w:szCs w:val="28"/>
        </w:rPr>
        <w:t xml:space="preserve">6-р/2018 та від </w:t>
      </w:r>
      <w:r w:rsidR="003E0C4A" w:rsidRPr="004846AF">
        <w:rPr>
          <w:color w:val="000000"/>
          <w:sz w:val="28"/>
          <w:szCs w:val="28"/>
        </w:rPr>
        <w:t xml:space="preserve">7 квітня 2021 року </w:t>
      </w:r>
      <w:r w:rsidR="007A34E4">
        <w:rPr>
          <w:color w:val="000000"/>
          <w:sz w:val="28"/>
          <w:szCs w:val="28"/>
        </w:rPr>
        <w:t xml:space="preserve">№ </w:t>
      </w:r>
      <w:r w:rsidR="006B714E" w:rsidRPr="004846AF">
        <w:rPr>
          <w:color w:val="000000"/>
          <w:sz w:val="28"/>
          <w:szCs w:val="28"/>
        </w:rPr>
        <w:t>1-р(ІІ)/2021</w:t>
      </w:r>
      <w:r w:rsidR="003648BE" w:rsidRPr="004846AF">
        <w:rPr>
          <w:color w:val="000000"/>
          <w:sz w:val="28"/>
          <w:szCs w:val="28"/>
        </w:rPr>
        <w:t>, стверджує про невиконання цих рішень</w:t>
      </w:r>
      <w:r w:rsidR="003E0C4A" w:rsidRPr="004846AF">
        <w:rPr>
          <w:color w:val="000000"/>
          <w:sz w:val="28"/>
          <w:szCs w:val="28"/>
        </w:rPr>
        <w:t xml:space="preserve"> та наголошує, що органи Пенсійного фонду України та Верховний Суд „вважають і тлумачать норми законів таким чином“, що підлягає застосуванню редакція Закону </w:t>
      </w:r>
      <w:r w:rsidR="007A34E4">
        <w:rPr>
          <w:color w:val="000000"/>
          <w:sz w:val="28"/>
          <w:szCs w:val="28"/>
        </w:rPr>
        <w:t xml:space="preserve">№ </w:t>
      </w:r>
      <w:r w:rsidR="003E0C4A" w:rsidRPr="004846AF">
        <w:rPr>
          <w:color w:val="000000"/>
          <w:sz w:val="28"/>
          <w:szCs w:val="28"/>
        </w:rPr>
        <w:t>79</w:t>
      </w:r>
      <w:r w:rsidR="002A6CA5" w:rsidRPr="004846AF">
        <w:rPr>
          <w:color w:val="000000"/>
          <w:sz w:val="28"/>
          <w:szCs w:val="28"/>
        </w:rPr>
        <w:t>6</w:t>
      </w:r>
      <w:r w:rsidR="003E0C4A" w:rsidRPr="004846AF">
        <w:rPr>
          <w:color w:val="000000"/>
          <w:sz w:val="28"/>
          <w:szCs w:val="28"/>
        </w:rPr>
        <w:t>, яка втратила чинність.</w:t>
      </w:r>
    </w:p>
    <w:p w14:paraId="671DD56D" w14:textId="63E0B22A" w:rsidR="008A4BBB" w:rsidRPr="004846AF" w:rsidRDefault="001400B4" w:rsidP="004846AF">
      <w:pPr>
        <w:pStyle w:val="ac"/>
        <w:widowControl/>
        <w:shd w:val="clear" w:color="auto" w:fill="auto"/>
        <w:spacing w:after="0" w:line="372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846AF">
        <w:rPr>
          <w:color w:val="000000"/>
          <w:sz w:val="28"/>
          <w:szCs w:val="28"/>
        </w:rPr>
        <w:t xml:space="preserve">Водночас у конституційній скарзі не обґрунтовано неконституційність частини третьої статті 59 Закону </w:t>
      </w:r>
      <w:r w:rsidR="007A34E4">
        <w:rPr>
          <w:color w:val="000000"/>
          <w:sz w:val="28"/>
          <w:szCs w:val="28"/>
        </w:rPr>
        <w:t xml:space="preserve">№ </w:t>
      </w:r>
      <w:r w:rsidRPr="004846AF">
        <w:rPr>
          <w:color w:val="000000"/>
          <w:sz w:val="28"/>
          <w:szCs w:val="28"/>
        </w:rPr>
        <w:t xml:space="preserve">796, що </w:t>
      </w:r>
      <w:r w:rsidR="00487CFA" w:rsidRPr="004846AF">
        <w:rPr>
          <w:color w:val="000000"/>
          <w:sz w:val="28"/>
          <w:szCs w:val="28"/>
        </w:rPr>
        <w:t>є підставою для відмови у відкритті конституційного провадження</w:t>
      </w:r>
      <w:r w:rsidR="00BC1EB0" w:rsidRPr="004846AF">
        <w:rPr>
          <w:color w:val="000000"/>
          <w:sz w:val="28"/>
          <w:szCs w:val="28"/>
        </w:rPr>
        <w:t xml:space="preserve"> у справі </w:t>
      </w:r>
      <w:r w:rsidR="00487CFA" w:rsidRPr="004846AF">
        <w:rPr>
          <w:color w:val="000000"/>
          <w:sz w:val="28"/>
          <w:szCs w:val="28"/>
        </w:rPr>
        <w:t xml:space="preserve">в цій частині </w:t>
      </w:r>
      <w:r w:rsidR="008A4BBB" w:rsidRPr="004846AF">
        <w:rPr>
          <w:sz w:val="28"/>
          <w:szCs w:val="28"/>
        </w:rPr>
        <w:t>згідно з пункт</w:t>
      </w:r>
      <w:r w:rsidR="00487CFA" w:rsidRPr="004846AF">
        <w:rPr>
          <w:sz w:val="28"/>
          <w:szCs w:val="28"/>
        </w:rPr>
        <w:t>ом</w:t>
      </w:r>
      <w:r w:rsidR="008A4BBB" w:rsidRPr="004846AF">
        <w:rPr>
          <w:sz w:val="28"/>
          <w:szCs w:val="28"/>
        </w:rPr>
        <w:t xml:space="preserve"> 4 статті 62 Закону України „Про Конституційний Суд України“ –</w:t>
      </w:r>
      <w:r w:rsidR="000A4B50" w:rsidRPr="004846AF">
        <w:rPr>
          <w:sz w:val="28"/>
          <w:szCs w:val="28"/>
        </w:rPr>
        <w:t xml:space="preserve"> </w:t>
      </w:r>
      <w:r w:rsidR="008A4BBB" w:rsidRPr="004846AF">
        <w:rPr>
          <w:rFonts w:eastAsia="Times New Roman"/>
          <w:sz w:val="28"/>
          <w:szCs w:val="28"/>
          <w:lang w:eastAsia="ru-RU"/>
        </w:rPr>
        <w:t>неприйнятність конституційної скарги.</w:t>
      </w:r>
    </w:p>
    <w:p w14:paraId="7E91A258" w14:textId="77777777" w:rsidR="008A4BBB" w:rsidRPr="004846AF" w:rsidRDefault="008A4BBB" w:rsidP="004846AF">
      <w:pPr>
        <w:shd w:val="clear" w:color="auto" w:fill="FFFFFF"/>
        <w:spacing w:after="0" w:line="372" w:lineRule="auto"/>
        <w:ind w:firstLine="709"/>
        <w:contextualSpacing/>
        <w:jc w:val="both"/>
        <w:textAlignment w:val="baseline"/>
        <w:rPr>
          <w:rFonts w:cs="Times New Roman"/>
          <w:szCs w:val="28"/>
          <w:lang w:eastAsia="uk-UA"/>
        </w:rPr>
      </w:pPr>
    </w:p>
    <w:p w14:paraId="340E0274" w14:textId="34690A04" w:rsidR="008A4BBB" w:rsidRPr="004846AF" w:rsidRDefault="00766081" w:rsidP="004846AF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4846AF">
        <w:rPr>
          <w:rFonts w:eastAsia="Times New Roman" w:cs="Times New Roman"/>
          <w:szCs w:val="28"/>
        </w:rPr>
        <w:t>У</w:t>
      </w:r>
      <w:r w:rsidR="008A4BBB" w:rsidRPr="004846AF">
        <w:rPr>
          <w:rFonts w:eastAsia="Times New Roman" w:cs="Times New Roman"/>
          <w:szCs w:val="28"/>
        </w:rPr>
        <w:t>раховуючи викладене та керуючись статтями 147, 151</w:t>
      </w:r>
      <w:r w:rsidR="008A4BBB" w:rsidRPr="004846AF">
        <w:rPr>
          <w:rFonts w:eastAsia="Times New Roman" w:cs="Times New Roman"/>
          <w:szCs w:val="28"/>
          <w:vertAlign w:val="superscript"/>
        </w:rPr>
        <w:t>1</w:t>
      </w:r>
      <w:r w:rsidR="008A4BBB" w:rsidRPr="004846AF">
        <w:rPr>
          <w:rFonts w:eastAsia="Times New Roman" w:cs="Times New Roman"/>
          <w:szCs w:val="28"/>
        </w:rPr>
        <w:t xml:space="preserve"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</w:t>
      </w:r>
      <w:r w:rsidR="000A4B50" w:rsidRPr="004846AF">
        <w:rPr>
          <w:rFonts w:eastAsia="Times New Roman" w:cs="Times New Roman"/>
          <w:szCs w:val="28"/>
        </w:rPr>
        <w:t>Третя</w:t>
      </w:r>
      <w:r w:rsidR="008A4BBB" w:rsidRPr="004846AF">
        <w:rPr>
          <w:rFonts w:eastAsia="Times New Roman" w:cs="Times New Roman"/>
          <w:szCs w:val="28"/>
        </w:rPr>
        <w:t xml:space="preserve"> колегія суддів </w:t>
      </w:r>
      <w:r w:rsidR="000A4B50" w:rsidRPr="004846AF">
        <w:rPr>
          <w:rFonts w:eastAsia="Times New Roman" w:cs="Times New Roman"/>
          <w:szCs w:val="28"/>
        </w:rPr>
        <w:t>Другого</w:t>
      </w:r>
      <w:r w:rsidR="008A4BBB" w:rsidRPr="004846AF">
        <w:rPr>
          <w:rFonts w:eastAsia="Times New Roman" w:cs="Times New Roman"/>
          <w:szCs w:val="28"/>
        </w:rPr>
        <w:t xml:space="preserve"> сенату Конституційного Суду України</w:t>
      </w:r>
    </w:p>
    <w:p w14:paraId="1880F8FB" w14:textId="77777777" w:rsidR="008A4BBB" w:rsidRPr="004846AF" w:rsidRDefault="008A4BBB" w:rsidP="004846AF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</w:rPr>
      </w:pPr>
    </w:p>
    <w:p w14:paraId="26DC6AAF" w14:textId="77777777" w:rsidR="008A4BBB" w:rsidRPr="004846AF" w:rsidRDefault="008A4BBB" w:rsidP="004846AF">
      <w:pPr>
        <w:spacing w:after="0" w:line="372" w:lineRule="auto"/>
        <w:contextualSpacing/>
        <w:jc w:val="center"/>
        <w:rPr>
          <w:rFonts w:eastAsia="Times New Roman" w:cs="Times New Roman"/>
          <w:b/>
          <w:szCs w:val="28"/>
        </w:rPr>
      </w:pPr>
      <w:r w:rsidRPr="004846AF">
        <w:rPr>
          <w:rFonts w:eastAsia="Times New Roman" w:cs="Times New Roman"/>
          <w:b/>
          <w:szCs w:val="28"/>
        </w:rPr>
        <w:t>у х в а л и л а:</w:t>
      </w:r>
    </w:p>
    <w:p w14:paraId="70F58992" w14:textId="77777777" w:rsidR="008A4BBB" w:rsidRPr="004846AF" w:rsidRDefault="008A4BBB" w:rsidP="004846AF">
      <w:pPr>
        <w:spacing w:after="0" w:line="372" w:lineRule="auto"/>
        <w:ind w:firstLine="709"/>
        <w:contextualSpacing/>
        <w:jc w:val="center"/>
        <w:rPr>
          <w:rFonts w:eastAsia="Times New Roman" w:cs="Times New Roman"/>
          <w:b/>
          <w:szCs w:val="28"/>
        </w:rPr>
      </w:pPr>
    </w:p>
    <w:p w14:paraId="16ABA99E" w14:textId="7FAED917" w:rsidR="008A4BBB" w:rsidRPr="004846AF" w:rsidRDefault="008A4BBB" w:rsidP="004846AF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6AF">
        <w:rPr>
          <w:rFonts w:eastAsia="Times New Roman" w:cs="Times New Roman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4054D8" w:rsidRPr="004846AF">
        <w:rPr>
          <w:rFonts w:eastAsia="Times New Roman" w:cs="Times New Roman"/>
          <w:szCs w:val="28"/>
        </w:rPr>
        <w:t>Алексенка Павла Олексійовича</w:t>
      </w:r>
      <w:r w:rsidRPr="004846AF">
        <w:rPr>
          <w:rFonts w:eastAsia="Times New Roman"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7A34E4">
        <w:rPr>
          <w:rFonts w:eastAsia="Times New Roman" w:cs="Times New Roman"/>
          <w:szCs w:val="28"/>
        </w:rPr>
        <w:t xml:space="preserve">№ </w:t>
      </w:r>
      <w:r w:rsidRPr="004846AF">
        <w:rPr>
          <w:rFonts w:eastAsia="Times New Roman" w:cs="Times New Roman"/>
          <w:szCs w:val="28"/>
        </w:rPr>
        <w:t>796–XII зі змінами</w:t>
      </w:r>
      <w:r w:rsidR="004973AE" w:rsidRPr="004846AF">
        <w:rPr>
          <w:rFonts w:eastAsia="Times New Roman" w:cs="Times New Roman"/>
          <w:szCs w:val="28"/>
        </w:rPr>
        <w:t xml:space="preserve"> на підставі пункту 4 статті 62 Закону </w:t>
      </w:r>
      <w:r w:rsidR="00556159">
        <w:rPr>
          <w:rFonts w:eastAsia="Times New Roman" w:cs="Times New Roman"/>
          <w:szCs w:val="28"/>
        </w:rPr>
        <w:t>України „Про Конституційний Суд</w:t>
      </w:r>
      <w:r w:rsidR="00556159">
        <w:rPr>
          <w:rFonts w:eastAsia="Times New Roman" w:cs="Times New Roman"/>
          <w:szCs w:val="28"/>
        </w:rPr>
        <w:br/>
      </w:r>
      <w:r w:rsidR="004973AE" w:rsidRPr="004846AF">
        <w:rPr>
          <w:rFonts w:eastAsia="Times New Roman" w:cs="Times New Roman"/>
          <w:szCs w:val="28"/>
        </w:rPr>
        <w:t xml:space="preserve">України“ – </w:t>
      </w:r>
      <w:r w:rsidR="0026068F" w:rsidRPr="004846AF">
        <w:rPr>
          <w:rFonts w:eastAsia="Times New Roman" w:cs="Times New Roman"/>
          <w:szCs w:val="28"/>
          <w:lang w:eastAsia="ru-RU"/>
        </w:rPr>
        <w:t>неприйнятність конституційної скарги;</w:t>
      </w:r>
      <w:r w:rsidR="009C02D8">
        <w:rPr>
          <w:rFonts w:eastAsia="Times New Roman" w:cs="Times New Roman"/>
          <w:szCs w:val="28"/>
        </w:rPr>
        <w:t xml:space="preserve"> статей 11, 21 Закону України</w:t>
      </w:r>
      <w:r w:rsidR="009C02D8">
        <w:rPr>
          <w:rFonts w:eastAsia="Times New Roman" w:cs="Times New Roman"/>
          <w:szCs w:val="28"/>
        </w:rPr>
        <w:br/>
      </w:r>
      <w:r w:rsidRPr="004846AF">
        <w:rPr>
          <w:rFonts w:eastAsia="Times New Roman" w:cs="Times New Roman"/>
          <w:szCs w:val="28"/>
        </w:rPr>
        <w:t xml:space="preserve">„Про пенсійне забезпечення осіб, звільнених з військової служби, та деяких інших осіб“ від 9 квітня 1992 року </w:t>
      </w:r>
      <w:r w:rsidR="007A34E4">
        <w:rPr>
          <w:rFonts w:eastAsia="Times New Roman" w:cs="Times New Roman"/>
          <w:szCs w:val="28"/>
        </w:rPr>
        <w:t xml:space="preserve">№ </w:t>
      </w:r>
      <w:r w:rsidRPr="004846AF">
        <w:rPr>
          <w:rFonts w:eastAsia="Times New Roman" w:cs="Times New Roman"/>
          <w:szCs w:val="28"/>
        </w:rPr>
        <w:t>2262–X</w:t>
      </w:r>
      <w:r w:rsidR="0026068F" w:rsidRPr="004846AF">
        <w:rPr>
          <w:rFonts w:eastAsia="Times New Roman" w:cs="Times New Roman"/>
          <w:szCs w:val="28"/>
        </w:rPr>
        <w:t>II зі змінами на підставі пункту</w:t>
      </w:r>
      <w:r w:rsidRPr="004846AF">
        <w:rPr>
          <w:rFonts w:eastAsia="Times New Roman" w:cs="Times New Roman"/>
          <w:szCs w:val="28"/>
        </w:rPr>
        <w:t xml:space="preserve"> 1 статті 62 Закону України „Про Конституційний Суд України“ – </w:t>
      </w:r>
      <w:r w:rsidRPr="004846AF">
        <w:rPr>
          <w:rFonts w:eastAsia="Times New Roman" w:cs="Times New Roman"/>
          <w:szCs w:val="28"/>
          <w:lang w:eastAsia="ru-RU"/>
        </w:rPr>
        <w:t>звернення до Конституційного Суду України неналежним суб’єктом.</w:t>
      </w:r>
    </w:p>
    <w:p w14:paraId="5296C460" w14:textId="557302E6" w:rsidR="008A4BBB" w:rsidRPr="004846AF" w:rsidRDefault="008A4BBB" w:rsidP="004846AF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</w:rPr>
      </w:pPr>
    </w:p>
    <w:p w14:paraId="7CF876A1" w14:textId="4491D0DB" w:rsidR="008A4BBB" w:rsidRPr="004846AF" w:rsidRDefault="008A4BBB" w:rsidP="004846AF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4846AF">
        <w:rPr>
          <w:rFonts w:eastAsia="Times New Roman" w:cs="Times New Roman"/>
          <w:szCs w:val="28"/>
        </w:rPr>
        <w:t xml:space="preserve">2. </w:t>
      </w:r>
      <w:r w:rsidR="004054D8" w:rsidRPr="004846AF">
        <w:rPr>
          <w:rFonts w:cs="Times New Roman"/>
          <w:szCs w:val="28"/>
        </w:rPr>
        <w:t>Ухвала Третьої колегії суддів Другого сенату Конституційного Суду України є остаточною</w:t>
      </w:r>
      <w:r w:rsidRPr="004846AF">
        <w:rPr>
          <w:rFonts w:eastAsia="Times New Roman" w:cs="Times New Roman"/>
          <w:szCs w:val="28"/>
        </w:rPr>
        <w:t>.</w:t>
      </w:r>
    </w:p>
    <w:p w14:paraId="29064A16" w14:textId="5F068CF0" w:rsidR="007E00F7" w:rsidRDefault="007E00F7" w:rsidP="004846A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</w:p>
    <w:p w14:paraId="1959B08D" w14:textId="3D7369CF" w:rsidR="004846AF" w:rsidRDefault="004846AF" w:rsidP="004846A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</w:p>
    <w:p w14:paraId="0FAF08E9" w14:textId="77777777" w:rsidR="00920A80" w:rsidRDefault="00920A80" w:rsidP="004846A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</w:p>
    <w:p w14:paraId="03F540B7" w14:textId="77777777" w:rsidR="00920A80" w:rsidRPr="00920A80" w:rsidRDefault="00920A80" w:rsidP="00920A80">
      <w:pPr>
        <w:spacing w:after="0" w:line="240" w:lineRule="auto"/>
        <w:ind w:left="4254"/>
        <w:contextualSpacing/>
        <w:jc w:val="center"/>
        <w:rPr>
          <w:rFonts w:eastAsiaTheme="minorHAnsi" w:cs="Times New Roman"/>
          <w:b/>
          <w:caps/>
          <w:szCs w:val="28"/>
        </w:rPr>
      </w:pPr>
      <w:r w:rsidRPr="00920A80">
        <w:rPr>
          <w:rFonts w:eastAsiaTheme="minorHAnsi" w:cs="Times New Roman"/>
          <w:b/>
          <w:caps/>
          <w:szCs w:val="28"/>
        </w:rPr>
        <w:t>Третя колегія суддів</w:t>
      </w:r>
    </w:p>
    <w:p w14:paraId="5D213A63" w14:textId="77777777" w:rsidR="00920A80" w:rsidRPr="00920A80" w:rsidRDefault="00920A80" w:rsidP="00920A80">
      <w:pPr>
        <w:spacing w:after="0" w:line="240" w:lineRule="auto"/>
        <w:ind w:left="4254"/>
        <w:contextualSpacing/>
        <w:jc w:val="center"/>
        <w:rPr>
          <w:rFonts w:eastAsiaTheme="minorHAnsi" w:cs="Times New Roman"/>
          <w:b/>
          <w:caps/>
          <w:szCs w:val="28"/>
        </w:rPr>
      </w:pPr>
      <w:r w:rsidRPr="00920A80">
        <w:rPr>
          <w:rFonts w:eastAsiaTheme="minorHAnsi" w:cs="Times New Roman"/>
          <w:b/>
          <w:caps/>
          <w:szCs w:val="28"/>
        </w:rPr>
        <w:t>Другого сенату</w:t>
      </w:r>
    </w:p>
    <w:p w14:paraId="6B0FECD4" w14:textId="559C02B8" w:rsidR="004846AF" w:rsidRPr="00920A80" w:rsidRDefault="00920A80" w:rsidP="00920A80">
      <w:pPr>
        <w:spacing w:after="0" w:line="240" w:lineRule="auto"/>
        <w:ind w:left="4254"/>
        <w:contextualSpacing/>
        <w:jc w:val="center"/>
        <w:rPr>
          <w:rFonts w:eastAsia="Times New Roman" w:cs="Times New Roman"/>
          <w:b/>
          <w:caps/>
          <w:szCs w:val="28"/>
        </w:rPr>
      </w:pPr>
      <w:r w:rsidRPr="00920A80">
        <w:rPr>
          <w:rFonts w:eastAsiaTheme="minorHAnsi" w:cs="Times New Roman"/>
          <w:b/>
          <w:caps/>
          <w:szCs w:val="28"/>
        </w:rPr>
        <w:t>Конституційного Суду України</w:t>
      </w:r>
    </w:p>
    <w:sectPr w:rsidR="004846AF" w:rsidRPr="00920A80" w:rsidSect="004846AF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DEF1" w14:textId="77777777" w:rsidR="00624168" w:rsidRDefault="00624168" w:rsidP="00BE1ED8">
      <w:pPr>
        <w:spacing w:after="0" w:line="240" w:lineRule="auto"/>
      </w:pPr>
      <w:r>
        <w:separator/>
      </w:r>
    </w:p>
  </w:endnote>
  <w:endnote w:type="continuationSeparator" w:id="0">
    <w:p w14:paraId="3036B0B9" w14:textId="77777777" w:rsidR="00624168" w:rsidRDefault="00624168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8E6D" w14:textId="592B648F" w:rsidR="004846AF" w:rsidRPr="004846AF" w:rsidRDefault="004846AF" w:rsidP="004846AF">
    <w:pPr>
      <w:pStyle w:val="a5"/>
      <w:spacing w:after="0" w:line="240" w:lineRule="auto"/>
      <w:rPr>
        <w:sz w:val="10"/>
        <w:szCs w:val="10"/>
      </w:rPr>
    </w:pPr>
    <w:r w:rsidRPr="004846AF">
      <w:rPr>
        <w:sz w:val="10"/>
        <w:szCs w:val="10"/>
      </w:rPr>
      <w:fldChar w:fldCharType="begin"/>
    </w:r>
    <w:r w:rsidRPr="004846AF">
      <w:rPr>
        <w:rFonts w:cs="Times New Roman"/>
        <w:sz w:val="10"/>
        <w:szCs w:val="10"/>
        <w:lang w:val="en-US"/>
      </w:rPr>
      <w:instrText xml:space="preserve"> FILENAME \p \* MERGEFORMAT </w:instrText>
    </w:r>
    <w:r w:rsidRPr="004846AF">
      <w:rPr>
        <w:sz w:val="10"/>
        <w:szCs w:val="10"/>
      </w:rPr>
      <w:fldChar w:fldCharType="separate"/>
    </w:r>
    <w:r w:rsidR="00920A80">
      <w:rPr>
        <w:rFonts w:cs="Times New Roman"/>
        <w:noProof/>
        <w:sz w:val="10"/>
        <w:szCs w:val="10"/>
        <w:lang w:val="en-US"/>
      </w:rPr>
      <w:t>G:\2022\Suddi\II senat\III koleg\30.docx</w:t>
    </w:r>
    <w:r w:rsidRPr="004846A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4F6B" w14:textId="36CED1E1" w:rsidR="004846AF" w:rsidRPr="004846AF" w:rsidRDefault="004846AF" w:rsidP="004846AF">
    <w:pPr>
      <w:pStyle w:val="a5"/>
      <w:spacing w:after="0" w:line="240" w:lineRule="auto"/>
      <w:rPr>
        <w:sz w:val="10"/>
        <w:szCs w:val="10"/>
      </w:rPr>
    </w:pPr>
    <w:r w:rsidRPr="004846AF">
      <w:rPr>
        <w:sz w:val="10"/>
        <w:szCs w:val="10"/>
      </w:rPr>
      <w:fldChar w:fldCharType="begin"/>
    </w:r>
    <w:r w:rsidRPr="004846AF">
      <w:rPr>
        <w:rFonts w:cs="Times New Roman"/>
        <w:sz w:val="10"/>
        <w:szCs w:val="10"/>
        <w:lang w:val="en-US"/>
      </w:rPr>
      <w:instrText xml:space="preserve"> FILENAME \p \* MERGEFORMAT </w:instrText>
    </w:r>
    <w:r w:rsidRPr="004846AF">
      <w:rPr>
        <w:sz w:val="10"/>
        <w:szCs w:val="10"/>
      </w:rPr>
      <w:fldChar w:fldCharType="separate"/>
    </w:r>
    <w:r w:rsidR="00920A80">
      <w:rPr>
        <w:rFonts w:cs="Times New Roman"/>
        <w:noProof/>
        <w:sz w:val="10"/>
        <w:szCs w:val="10"/>
        <w:lang w:val="en-US"/>
      </w:rPr>
      <w:t>G:\2022\Suddi\II senat\III koleg\30.docx</w:t>
    </w:r>
    <w:r w:rsidRPr="004846A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32DB" w14:textId="77777777" w:rsidR="00624168" w:rsidRDefault="00624168" w:rsidP="00BE1ED8">
      <w:pPr>
        <w:spacing w:after="0" w:line="240" w:lineRule="auto"/>
      </w:pPr>
      <w:r>
        <w:separator/>
      </w:r>
    </w:p>
  </w:footnote>
  <w:footnote w:type="continuationSeparator" w:id="0">
    <w:p w14:paraId="4876AD55" w14:textId="77777777" w:rsidR="00624168" w:rsidRDefault="00624168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1FD311CA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A34E4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5B6"/>
    <w:rsid w:val="00012778"/>
    <w:rsid w:val="000307D7"/>
    <w:rsid w:val="000321FD"/>
    <w:rsid w:val="00040A56"/>
    <w:rsid w:val="0004264F"/>
    <w:rsid w:val="00061F95"/>
    <w:rsid w:val="0007278B"/>
    <w:rsid w:val="00072FC3"/>
    <w:rsid w:val="00073E34"/>
    <w:rsid w:val="000745E9"/>
    <w:rsid w:val="00080CB3"/>
    <w:rsid w:val="00085F4E"/>
    <w:rsid w:val="00086335"/>
    <w:rsid w:val="00087FAB"/>
    <w:rsid w:val="000A4B50"/>
    <w:rsid w:val="000D29D7"/>
    <w:rsid w:val="000E0F60"/>
    <w:rsid w:val="000E6A66"/>
    <w:rsid w:val="000E7710"/>
    <w:rsid w:val="000F1F6F"/>
    <w:rsid w:val="000F6BCC"/>
    <w:rsid w:val="000F7C62"/>
    <w:rsid w:val="001010C1"/>
    <w:rsid w:val="00101C82"/>
    <w:rsid w:val="00127F18"/>
    <w:rsid w:val="001316C2"/>
    <w:rsid w:val="001400B4"/>
    <w:rsid w:val="001506D3"/>
    <w:rsid w:val="00151F15"/>
    <w:rsid w:val="00163E6B"/>
    <w:rsid w:val="00177533"/>
    <w:rsid w:val="00180690"/>
    <w:rsid w:val="001927B5"/>
    <w:rsid w:val="00193CDD"/>
    <w:rsid w:val="001A0605"/>
    <w:rsid w:val="001A7E13"/>
    <w:rsid w:val="001B727E"/>
    <w:rsid w:val="001D2683"/>
    <w:rsid w:val="001E6CAC"/>
    <w:rsid w:val="00203450"/>
    <w:rsid w:val="002042C3"/>
    <w:rsid w:val="00205420"/>
    <w:rsid w:val="00214FE9"/>
    <w:rsid w:val="0026068F"/>
    <w:rsid w:val="00273447"/>
    <w:rsid w:val="00296D04"/>
    <w:rsid w:val="002A0F3A"/>
    <w:rsid w:val="002A6CA5"/>
    <w:rsid w:val="002B119E"/>
    <w:rsid w:val="002D1F45"/>
    <w:rsid w:val="002E2031"/>
    <w:rsid w:val="002E4CFE"/>
    <w:rsid w:val="002F2871"/>
    <w:rsid w:val="002F3D3A"/>
    <w:rsid w:val="002F47F8"/>
    <w:rsid w:val="002F7B26"/>
    <w:rsid w:val="00313A2B"/>
    <w:rsid w:val="00321C38"/>
    <w:rsid w:val="00344101"/>
    <w:rsid w:val="003648BE"/>
    <w:rsid w:val="003650B1"/>
    <w:rsid w:val="00373F41"/>
    <w:rsid w:val="00380B7D"/>
    <w:rsid w:val="003A04CD"/>
    <w:rsid w:val="003B1599"/>
    <w:rsid w:val="003B1B75"/>
    <w:rsid w:val="003B2F4D"/>
    <w:rsid w:val="003B35E1"/>
    <w:rsid w:val="003B5543"/>
    <w:rsid w:val="003C4537"/>
    <w:rsid w:val="003E0C4A"/>
    <w:rsid w:val="003F1A42"/>
    <w:rsid w:val="003F6A1D"/>
    <w:rsid w:val="00400121"/>
    <w:rsid w:val="004054D8"/>
    <w:rsid w:val="004059B8"/>
    <w:rsid w:val="00411C37"/>
    <w:rsid w:val="00420FAC"/>
    <w:rsid w:val="004302D4"/>
    <w:rsid w:val="0043454D"/>
    <w:rsid w:val="00462BFF"/>
    <w:rsid w:val="00464D47"/>
    <w:rsid w:val="004846AF"/>
    <w:rsid w:val="00484FFB"/>
    <w:rsid w:val="00487CFA"/>
    <w:rsid w:val="00493F01"/>
    <w:rsid w:val="004959DE"/>
    <w:rsid w:val="004973AE"/>
    <w:rsid w:val="004A05FB"/>
    <w:rsid w:val="004A077E"/>
    <w:rsid w:val="004B7AFF"/>
    <w:rsid w:val="004C3F2A"/>
    <w:rsid w:val="004D598F"/>
    <w:rsid w:val="004F69F4"/>
    <w:rsid w:val="00505CF3"/>
    <w:rsid w:val="00532BDC"/>
    <w:rsid w:val="00540C38"/>
    <w:rsid w:val="005525BF"/>
    <w:rsid w:val="00556159"/>
    <w:rsid w:val="00565F7F"/>
    <w:rsid w:val="005844CC"/>
    <w:rsid w:val="005A000D"/>
    <w:rsid w:val="005A3236"/>
    <w:rsid w:val="005A4C67"/>
    <w:rsid w:val="005B1445"/>
    <w:rsid w:val="005D066D"/>
    <w:rsid w:val="005D542F"/>
    <w:rsid w:val="005F25AB"/>
    <w:rsid w:val="005F6548"/>
    <w:rsid w:val="00606EED"/>
    <w:rsid w:val="00614813"/>
    <w:rsid w:val="00616703"/>
    <w:rsid w:val="00624168"/>
    <w:rsid w:val="006279F4"/>
    <w:rsid w:val="00637346"/>
    <w:rsid w:val="00642D2B"/>
    <w:rsid w:val="00643625"/>
    <w:rsid w:val="006471CA"/>
    <w:rsid w:val="0065286F"/>
    <w:rsid w:val="00675770"/>
    <w:rsid w:val="00680D03"/>
    <w:rsid w:val="00685870"/>
    <w:rsid w:val="00687881"/>
    <w:rsid w:val="006A518B"/>
    <w:rsid w:val="006A6E16"/>
    <w:rsid w:val="006B220F"/>
    <w:rsid w:val="006B24AE"/>
    <w:rsid w:val="006B714E"/>
    <w:rsid w:val="006F1CD9"/>
    <w:rsid w:val="006F3C87"/>
    <w:rsid w:val="007136A1"/>
    <w:rsid w:val="007142FE"/>
    <w:rsid w:val="00717710"/>
    <w:rsid w:val="00741B52"/>
    <w:rsid w:val="00762790"/>
    <w:rsid w:val="0076477E"/>
    <w:rsid w:val="007652C8"/>
    <w:rsid w:val="00766081"/>
    <w:rsid w:val="007770EF"/>
    <w:rsid w:val="00785982"/>
    <w:rsid w:val="00787B63"/>
    <w:rsid w:val="007960EA"/>
    <w:rsid w:val="007A34E4"/>
    <w:rsid w:val="007E00F7"/>
    <w:rsid w:val="007E4F4F"/>
    <w:rsid w:val="007F1FFD"/>
    <w:rsid w:val="007F3235"/>
    <w:rsid w:val="007F46B7"/>
    <w:rsid w:val="0080396C"/>
    <w:rsid w:val="008210BE"/>
    <w:rsid w:val="00823C32"/>
    <w:rsid w:val="00830818"/>
    <w:rsid w:val="0084573E"/>
    <w:rsid w:val="00863A16"/>
    <w:rsid w:val="00863B2B"/>
    <w:rsid w:val="0087396D"/>
    <w:rsid w:val="00897341"/>
    <w:rsid w:val="008A03E1"/>
    <w:rsid w:val="008A1D53"/>
    <w:rsid w:val="008A4BBB"/>
    <w:rsid w:val="008B33AF"/>
    <w:rsid w:val="008B6513"/>
    <w:rsid w:val="008C70BB"/>
    <w:rsid w:val="008F544C"/>
    <w:rsid w:val="00905AA5"/>
    <w:rsid w:val="0091721D"/>
    <w:rsid w:val="00920A80"/>
    <w:rsid w:val="00930711"/>
    <w:rsid w:val="0093297D"/>
    <w:rsid w:val="009422FD"/>
    <w:rsid w:val="009432A5"/>
    <w:rsid w:val="00947EA0"/>
    <w:rsid w:val="009559F0"/>
    <w:rsid w:val="0099129B"/>
    <w:rsid w:val="009A3844"/>
    <w:rsid w:val="009C02D8"/>
    <w:rsid w:val="009D070C"/>
    <w:rsid w:val="009E2770"/>
    <w:rsid w:val="009F7591"/>
    <w:rsid w:val="00A0420E"/>
    <w:rsid w:val="00A22C69"/>
    <w:rsid w:val="00A252CB"/>
    <w:rsid w:val="00A46B67"/>
    <w:rsid w:val="00A533E5"/>
    <w:rsid w:val="00A556F1"/>
    <w:rsid w:val="00A57CC0"/>
    <w:rsid w:val="00A667E0"/>
    <w:rsid w:val="00A822BC"/>
    <w:rsid w:val="00A84139"/>
    <w:rsid w:val="00A941BD"/>
    <w:rsid w:val="00A96520"/>
    <w:rsid w:val="00AA249F"/>
    <w:rsid w:val="00AA3E0B"/>
    <w:rsid w:val="00AA530B"/>
    <w:rsid w:val="00AD07C0"/>
    <w:rsid w:val="00AD2A83"/>
    <w:rsid w:val="00AD72AE"/>
    <w:rsid w:val="00AF096C"/>
    <w:rsid w:val="00AF48F4"/>
    <w:rsid w:val="00B04E74"/>
    <w:rsid w:val="00B05A28"/>
    <w:rsid w:val="00B061E4"/>
    <w:rsid w:val="00B2009F"/>
    <w:rsid w:val="00B33DCE"/>
    <w:rsid w:val="00B55684"/>
    <w:rsid w:val="00B736E2"/>
    <w:rsid w:val="00B7375A"/>
    <w:rsid w:val="00B73F25"/>
    <w:rsid w:val="00B75FFC"/>
    <w:rsid w:val="00BB4592"/>
    <w:rsid w:val="00BC1EB0"/>
    <w:rsid w:val="00BC3511"/>
    <w:rsid w:val="00BC6D4D"/>
    <w:rsid w:val="00BE0586"/>
    <w:rsid w:val="00BE1D5D"/>
    <w:rsid w:val="00BE1ED8"/>
    <w:rsid w:val="00BF021D"/>
    <w:rsid w:val="00C101D5"/>
    <w:rsid w:val="00C24E3B"/>
    <w:rsid w:val="00C3526D"/>
    <w:rsid w:val="00C36940"/>
    <w:rsid w:val="00C51461"/>
    <w:rsid w:val="00C62C15"/>
    <w:rsid w:val="00C66F7C"/>
    <w:rsid w:val="00C75F8A"/>
    <w:rsid w:val="00C8391F"/>
    <w:rsid w:val="00C85EB1"/>
    <w:rsid w:val="00C9225F"/>
    <w:rsid w:val="00C948C7"/>
    <w:rsid w:val="00C95776"/>
    <w:rsid w:val="00C97413"/>
    <w:rsid w:val="00CA74AF"/>
    <w:rsid w:val="00CB24A0"/>
    <w:rsid w:val="00CD0809"/>
    <w:rsid w:val="00CD0B37"/>
    <w:rsid w:val="00CE6C95"/>
    <w:rsid w:val="00CE7637"/>
    <w:rsid w:val="00CF04F8"/>
    <w:rsid w:val="00CF43C6"/>
    <w:rsid w:val="00CF7DD4"/>
    <w:rsid w:val="00D15D97"/>
    <w:rsid w:val="00D211F3"/>
    <w:rsid w:val="00D222C2"/>
    <w:rsid w:val="00D23D2B"/>
    <w:rsid w:val="00D32B74"/>
    <w:rsid w:val="00D37709"/>
    <w:rsid w:val="00D44AE5"/>
    <w:rsid w:val="00D546E0"/>
    <w:rsid w:val="00D5534A"/>
    <w:rsid w:val="00D57BC9"/>
    <w:rsid w:val="00DB0FDA"/>
    <w:rsid w:val="00DB1F18"/>
    <w:rsid w:val="00DC7756"/>
    <w:rsid w:val="00DD6EE4"/>
    <w:rsid w:val="00DD7C59"/>
    <w:rsid w:val="00DE618C"/>
    <w:rsid w:val="00DF11A8"/>
    <w:rsid w:val="00DF3F13"/>
    <w:rsid w:val="00E1337C"/>
    <w:rsid w:val="00E2160D"/>
    <w:rsid w:val="00E21E6F"/>
    <w:rsid w:val="00E21ECB"/>
    <w:rsid w:val="00E32667"/>
    <w:rsid w:val="00E379EC"/>
    <w:rsid w:val="00E65EB0"/>
    <w:rsid w:val="00E76B43"/>
    <w:rsid w:val="00E94D1E"/>
    <w:rsid w:val="00EB5840"/>
    <w:rsid w:val="00EB7898"/>
    <w:rsid w:val="00EC23C4"/>
    <w:rsid w:val="00EC7024"/>
    <w:rsid w:val="00EE4CE6"/>
    <w:rsid w:val="00EF5BAF"/>
    <w:rsid w:val="00EF618C"/>
    <w:rsid w:val="00F0043F"/>
    <w:rsid w:val="00F16B54"/>
    <w:rsid w:val="00F17FBA"/>
    <w:rsid w:val="00F24004"/>
    <w:rsid w:val="00F50858"/>
    <w:rsid w:val="00F53073"/>
    <w:rsid w:val="00F548BD"/>
    <w:rsid w:val="00F56AC0"/>
    <w:rsid w:val="00F71BD8"/>
    <w:rsid w:val="00F733E7"/>
    <w:rsid w:val="00F73F8D"/>
    <w:rsid w:val="00F755D0"/>
    <w:rsid w:val="00F91408"/>
    <w:rsid w:val="00FB1DEF"/>
    <w:rsid w:val="00FC633A"/>
    <w:rsid w:val="00FC74CA"/>
    <w:rsid w:val="00FC7DE8"/>
    <w:rsid w:val="00FE3C6A"/>
    <w:rsid w:val="00FE410B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A249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6B220F"/>
    <w:pPr>
      <w:ind w:left="720"/>
      <w:contextualSpacing/>
    </w:pPr>
  </w:style>
  <w:style w:type="character" w:customStyle="1" w:styleId="11">
    <w:name w:val="Основний текст Знак1"/>
    <w:basedOn w:val="a0"/>
    <w:link w:val="ac"/>
    <w:uiPriority w:val="99"/>
    <w:locked/>
    <w:rsid w:val="008A4BB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8A4BBB"/>
    <w:pPr>
      <w:widowControl w:val="0"/>
      <w:shd w:val="clear" w:color="auto" w:fill="FFFFFF"/>
      <w:spacing w:after="260" w:line="360" w:lineRule="auto"/>
      <w:ind w:firstLine="400"/>
    </w:pPr>
    <w:rPr>
      <w:rFonts w:cs="Times New Roman"/>
      <w:sz w:val="26"/>
      <w:szCs w:val="26"/>
      <w:lang w:eastAsia="uk-UA"/>
    </w:rPr>
  </w:style>
  <w:style w:type="character" w:customStyle="1" w:styleId="ad">
    <w:name w:val="Основний текст Знак"/>
    <w:basedOn w:val="a0"/>
    <w:uiPriority w:val="99"/>
    <w:semiHidden/>
    <w:rsid w:val="008A4BBB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4f464736-7d1e-4019-91e9-ff984cf39a64"/>
    <ds:schemaRef ds:uri="e6b3a831-0ae3-48cf-adb6-9af8d233054f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7770</Words>
  <Characters>4430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2022-10-19T06:53:00Z</cp:lastPrinted>
  <dcterms:created xsi:type="dcterms:W3CDTF">2023-08-30T07:23:00Z</dcterms:created>
  <dcterms:modified xsi:type="dcterms:W3CDTF">2023-08-30T07:23:00Z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