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33AD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8FC2615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C7AAA3A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4113DA0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DE39C7E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A7237EF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ADB1866" w14:textId="77777777" w:rsid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53F4EEDF" w:rsidR="002C4B7E" w:rsidRPr="00624EB4" w:rsidRDefault="00B62515" w:rsidP="00624EB4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624EB4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624EB4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624EB4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624EB4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624EB4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624EB4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624EB4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624EB4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9F42E7" w:rsidRPr="00624EB4">
        <w:rPr>
          <w:rFonts w:cs="Times New Roman"/>
          <w:b/>
          <w:sz w:val="28"/>
          <w:szCs w:val="28"/>
          <w:lang w:val="uk-UA"/>
        </w:rPr>
        <w:t xml:space="preserve">Качура Ігоря Анатолійовича щодо відповідності Конституції України (конституційності) частини третьої статті 55 </w:t>
      </w:r>
      <w:r w:rsidR="009F42E7" w:rsidRPr="00624EB4">
        <w:rPr>
          <w:rFonts w:cs="Times New Roman"/>
          <w:b/>
          <w:sz w:val="28"/>
          <w:szCs w:val="28"/>
          <w:lang w:val="uk-UA"/>
        </w:rPr>
        <w:br/>
      </w:r>
      <w:r w:rsidR="00624EB4">
        <w:rPr>
          <w:rFonts w:cs="Times New Roman"/>
          <w:b/>
          <w:sz w:val="28"/>
          <w:szCs w:val="28"/>
          <w:lang w:val="uk-UA"/>
        </w:rPr>
        <w:tab/>
      </w:r>
      <w:r w:rsidR="009F42E7" w:rsidRPr="00624EB4">
        <w:rPr>
          <w:rFonts w:cs="Times New Roman"/>
          <w:b/>
          <w:sz w:val="28"/>
          <w:szCs w:val="28"/>
          <w:lang w:val="uk-UA"/>
        </w:rPr>
        <w:t>Закону України „Про Вищу раду правосуддя“</w:t>
      </w:r>
    </w:p>
    <w:p w14:paraId="6B74530C" w14:textId="71F5BAB7" w:rsidR="00236CBC" w:rsidRDefault="00236CBC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B08E85A" w14:textId="77777777" w:rsidR="00624EB4" w:rsidRPr="00624EB4" w:rsidRDefault="00624EB4" w:rsidP="00624EB4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61CA14AD" w:rsidR="00B62515" w:rsidRPr="00624EB4" w:rsidRDefault="00120753" w:rsidP="00624EB4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 xml:space="preserve">К и ї в </w:t>
      </w:r>
      <w:r w:rsidRPr="00624EB4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F42E7" w:rsidRPr="00624EB4">
        <w:rPr>
          <w:rFonts w:cs="Times New Roman"/>
          <w:sz w:val="28"/>
          <w:szCs w:val="28"/>
          <w:lang w:val="uk-UA"/>
        </w:rPr>
        <w:t>3-174/2025(353/25)</w:t>
      </w:r>
    </w:p>
    <w:p w14:paraId="7974BD51" w14:textId="2B378552" w:rsidR="00B62515" w:rsidRPr="00624EB4" w:rsidRDefault="00F37852" w:rsidP="00624EB4">
      <w:pPr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4</w:t>
      </w:r>
      <w:r w:rsidR="0059469D" w:rsidRPr="00624EB4">
        <w:rPr>
          <w:rFonts w:cs="Times New Roman"/>
          <w:sz w:val="28"/>
          <w:szCs w:val="28"/>
          <w:lang w:val="uk-UA"/>
        </w:rPr>
        <w:t xml:space="preserve"> </w:t>
      </w:r>
      <w:r w:rsidR="00B21883" w:rsidRPr="00624EB4">
        <w:rPr>
          <w:rFonts w:cs="Times New Roman"/>
          <w:sz w:val="28"/>
          <w:szCs w:val="28"/>
          <w:lang w:val="uk-UA"/>
        </w:rPr>
        <w:t xml:space="preserve">листопада </w:t>
      </w:r>
      <w:r w:rsidR="00841952" w:rsidRPr="00624EB4">
        <w:rPr>
          <w:rFonts w:cs="Times New Roman"/>
          <w:sz w:val="28"/>
          <w:szCs w:val="28"/>
          <w:lang w:val="uk-UA"/>
        </w:rPr>
        <w:t>2025</w:t>
      </w:r>
      <w:r w:rsidR="00B62515" w:rsidRPr="00624EB4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4D54985F" w:rsidR="00B62515" w:rsidRPr="00624EB4" w:rsidRDefault="00B62515" w:rsidP="00624EB4">
      <w:pPr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 xml:space="preserve">№ </w:t>
      </w:r>
      <w:r w:rsidR="0059469D" w:rsidRPr="00624EB4">
        <w:rPr>
          <w:rFonts w:cs="Times New Roman"/>
          <w:sz w:val="28"/>
          <w:szCs w:val="28"/>
          <w:lang w:val="uk-UA"/>
        </w:rPr>
        <w:t>147</w:t>
      </w:r>
      <w:r w:rsidR="001238DE" w:rsidRPr="00624EB4">
        <w:rPr>
          <w:rFonts w:cs="Times New Roman"/>
          <w:sz w:val="28"/>
          <w:szCs w:val="28"/>
          <w:lang w:val="uk-UA"/>
        </w:rPr>
        <w:t>-</w:t>
      </w:r>
      <w:r w:rsidR="00841952" w:rsidRPr="00624EB4">
        <w:rPr>
          <w:rFonts w:cs="Times New Roman"/>
          <w:sz w:val="28"/>
          <w:szCs w:val="28"/>
          <w:lang w:val="uk-UA"/>
        </w:rPr>
        <w:t>у/2025</w:t>
      </w:r>
    </w:p>
    <w:p w14:paraId="3E50C6BC" w14:textId="1FC6B7DD" w:rsidR="00B62515" w:rsidRDefault="00B62515" w:rsidP="00624EB4">
      <w:pPr>
        <w:jc w:val="both"/>
        <w:rPr>
          <w:rFonts w:cs="Times New Roman"/>
          <w:sz w:val="28"/>
          <w:szCs w:val="28"/>
          <w:lang w:val="uk-UA"/>
        </w:rPr>
      </w:pPr>
    </w:p>
    <w:p w14:paraId="258853CE" w14:textId="77777777" w:rsidR="00624EB4" w:rsidRPr="00624EB4" w:rsidRDefault="00624EB4" w:rsidP="00624EB4">
      <w:pPr>
        <w:jc w:val="both"/>
        <w:rPr>
          <w:rFonts w:cs="Times New Roman"/>
          <w:sz w:val="28"/>
          <w:szCs w:val="28"/>
          <w:lang w:val="uk-UA"/>
        </w:rPr>
      </w:pPr>
    </w:p>
    <w:p w14:paraId="4A8959B6" w14:textId="5136016B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14:paraId="1FE13A9E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12437842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416926FC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7A09756C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57EAB54E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623A61F4" w14:textId="14D32853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74CCA7B4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6A4A8AF7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Лемака Василя Васильовича,</w:t>
      </w:r>
    </w:p>
    <w:p w14:paraId="48C21932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594D697B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09D4771E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Різника Сергія Васильовича,</w:t>
      </w:r>
    </w:p>
    <w:p w14:paraId="36EA6ECC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Совгирі Ольги Володимирівни,</w:t>
      </w:r>
    </w:p>
    <w:p w14:paraId="5AA96B17" w14:textId="03E214A8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 xml:space="preserve">Філюка Петра Тодосьовича, </w:t>
      </w:r>
    </w:p>
    <w:p w14:paraId="307E292C" w14:textId="77777777" w:rsidR="009F42E7" w:rsidRPr="00624EB4" w:rsidRDefault="009F42E7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583A0AFB" w14:textId="15DA7CC8" w:rsidR="009842D3" w:rsidRPr="00624EB4" w:rsidRDefault="009842D3" w:rsidP="00624EB4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F8C875C" w14:textId="473632EA" w:rsidR="00FD7655" w:rsidRPr="00624EB4" w:rsidRDefault="00B62515" w:rsidP="00624EB4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624EB4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624EB4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624EB4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624EB4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FD7655" w:rsidRPr="00624EB4">
        <w:rPr>
          <w:rFonts w:cs="Times New Roman"/>
          <w:color w:val="000000" w:themeColor="text1"/>
          <w:sz w:val="28"/>
          <w:szCs w:val="28"/>
          <w:lang w:val="uk-U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B96F60" w:rsidRPr="00624EB4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624EB4" w:rsidRDefault="005A04E5" w:rsidP="00624EB4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624EB4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624EB4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624EB4" w:rsidRDefault="00B62515" w:rsidP="00624EB4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624EB4" w:rsidRDefault="00B62515" w:rsidP="00624EB4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24EB4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624EB4" w:rsidRDefault="009842D3" w:rsidP="00624EB4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3147051E" w:rsidR="00B62515" w:rsidRPr="00624EB4" w:rsidRDefault="00B62515" w:rsidP="00624EB4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71746CFA" w14:textId="65D6A7E7" w:rsidR="00CC6503" w:rsidRPr="00624EB4" w:rsidRDefault="00B21883" w:rsidP="00624EB4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Велика палата Конституцій</w:t>
      </w:r>
      <w:r w:rsidR="00BA0383" w:rsidRPr="00624EB4">
        <w:rPr>
          <w:rFonts w:cs="Times New Roman"/>
          <w:sz w:val="28"/>
          <w:szCs w:val="28"/>
          <w:lang w:val="uk-UA"/>
        </w:rPr>
        <w:t>ного Суду України У</w:t>
      </w:r>
      <w:r w:rsidRPr="00624EB4">
        <w:rPr>
          <w:rFonts w:cs="Times New Roman"/>
          <w:sz w:val="28"/>
          <w:szCs w:val="28"/>
          <w:lang w:val="uk-UA"/>
        </w:rPr>
        <w:t>хвалою від 16 жовтня</w:t>
      </w:r>
      <w:r w:rsidR="00624EB4">
        <w:rPr>
          <w:rFonts w:cs="Times New Roman"/>
          <w:sz w:val="28"/>
          <w:szCs w:val="28"/>
          <w:lang w:val="uk-UA"/>
        </w:rPr>
        <w:br/>
      </w:r>
      <w:r w:rsidRPr="00624EB4">
        <w:rPr>
          <w:rFonts w:cs="Times New Roman"/>
          <w:sz w:val="28"/>
          <w:szCs w:val="28"/>
          <w:lang w:val="uk-UA"/>
        </w:rPr>
        <w:t>2025 року № 13</w:t>
      </w:r>
      <w:r w:rsidR="00CC6503" w:rsidRPr="00624EB4">
        <w:rPr>
          <w:rFonts w:cs="Times New Roman"/>
          <w:sz w:val="28"/>
          <w:szCs w:val="28"/>
          <w:lang w:val="uk-UA"/>
        </w:rPr>
        <w:t>5-у/2025 подовжила до 14 листопада</w:t>
      </w:r>
      <w:r w:rsidRPr="00624EB4">
        <w:rPr>
          <w:rFonts w:cs="Times New Roman"/>
          <w:sz w:val="28"/>
          <w:szCs w:val="28"/>
          <w:lang w:val="uk-UA"/>
        </w:rPr>
        <w:t xml:space="preserve"> 2025 року </w:t>
      </w:r>
      <w:r w:rsidR="00BA0383" w:rsidRPr="00624EB4">
        <w:rPr>
          <w:rFonts w:cs="Times New Roman"/>
          <w:sz w:val="28"/>
          <w:szCs w:val="28"/>
          <w:lang w:val="uk-UA"/>
        </w:rPr>
        <w:t xml:space="preserve">строк </w:t>
      </w:r>
      <w:r w:rsidRPr="00624EB4">
        <w:rPr>
          <w:rFonts w:cs="Times New Roman"/>
          <w:sz w:val="28"/>
          <w:szCs w:val="28"/>
          <w:lang w:val="uk-UA"/>
        </w:rPr>
        <w:t xml:space="preserve">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C6503" w:rsidRPr="00624EB4">
        <w:rPr>
          <w:rFonts w:cs="Times New Roman"/>
          <w:sz w:val="28"/>
          <w:szCs w:val="28"/>
          <w:lang w:val="uk-UA"/>
        </w:rPr>
        <w:t xml:space="preserve"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правосуддя“. </w:t>
      </w:r>
    </w:p>
    <w:p w14:paraId="1596F223" w14:textId="6EE8A1B5" w:rsidR="00B62515" w:rsidRPr="00624EB4" w:rsidRDefault="00B62515" w:rsidP="00624EB4">
      <w:pPr>
        <w:suppressAutoHyphens/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24EB4">
        <w:rPr>
          <w:rFonts w:cs="Times New Roman"/>
          <w:sz w:val="28"/>
          <w:szCs w:val="28"/>
          <w:lang w:val="uk-UA"/>
        </w:rPr>
        <w:t xml:space="preserve">У </w:t>
      </w:r>
      <w:r w:rsidR="000449C1" w:rsidRPr="00624EB4">
        <w:rPr>
          <w:rFonts w:cs="Times New Roman"/>
          <w:sz w:val="28"/>
          <w:szCs w:val="28"/>
          <w:lang w:val="uk-UA"/>
        </w:rPr>
        <w:t>зв’язку</w:t>
      </w:r>
      <w:r w:rsidRPr="00624EB4">
        <w:rPr>
          <w:rFonts w:cs="Times New Roman"/>
          <w:sz w:val="28"/>
          <w:szCs w:val="28"/>
          <w:lang w:val="uk-UA"/>
        </w:rPr>
        <w:t xml:space="preserve"> з </w:t>
      </w:r>
      <w:r w:rsidR="00507739" w:rsidRPr="00624EB4">
        <w:rPr>
          <w:rFonts w:cs="Times New Roman"/>
          <w:sz w:val="28"/>
          <w:szCs w:val="28"/>
          <w:lang w:val="uk-UA"/>
        </w:rPr>
        <w:t xml:space="preserve">розв՚язанням </w:t>
      </w:r>
      <w:r w:rsidRPr="00624EB4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</w:t>
      </w:r>
      <w:r w:rsidR="00BA0383" w:rsidRPr="00624EB4">
        <w:rPr>
          <w:rFonts w:cs="Times New Roman"/>
          <w:sz w:val="28"/>
          <w:szCs w:val="28"/>
          <w:lang w:val="uk-UA"/>
        </w:rPr>
        <w:t xml:space="preserve">для </w:t>
      </w:r>
      <w:r w:rsidRPr="00624EB4">
        <w:rPr>
          <w:rFonts w:cs="Times New Roman"/>
          <w:sz w:val="28"/>
          <w:szCs w:val="28"/>
          <w:lang w:val="uk-UA"/>
        </w:rPr>
        <w:t xml:space="preserve">постановлення </w:t>
      </w:r>
      <w:r w:rsidR="00EC4E07" w:rsidRPr="00624EB4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624EB4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624EB4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FD7655" w:rsidRPr="00624EB4">
        <w:rPr>
          <w:rFonts w:eastAsia="Times New Roman" w:cs="Times New Roman"/>
          <w:sz w:val="28"/>
          <w:szCs w:val="28"/>
          <w:lang w:val="uk-UA" w:bidi="ar-S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1917F9" w:rsidRPr="00624EB4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49C1" w:rsidRPr="00624EB4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FD7655" w:rsidRPr="00624EB4">
        <w:rPr>
          <w:rFonts w:eastAsia="Times New Roman" w:cs="Times New Roman"/>
          <w:sz w:val="28"/>
          <w:szCs w:val="28"/>
          <w:lang w:val="uk-UA"/>
        </w:rPr>
        <w:t>19</w:t>
      </w:r>
      <w:r w:rsidR="002C4B7E" w:rsidRPr="00624EB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D7655" w:rsidRPr="00624EB4">
        <w:rPr>
          <w:rFonts w:eastAsia="Times New Roman" w:cs="Times New Roman"/>
          <w:sz w:val="28"/>
          <w:szCs w:val="28"/>
          <w:lang w:val="uk-UA"/>
        </w:rPr>
        <w:t>вересня</w:t>
      </w:r>
      <w:r w:rsidR="00841952" w:rsidRPr="00624EB4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624E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624EB4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624EB4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624EB4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624EB4">
        <w:rPr>
          <w:rFonts w:eastAsia="Times New Roman" w:cs="Times New Roman"/>
          <w:sz w:val="28"/>
          <w:szCs w:val="28"/>
          <w:lang w:val="uk-UA"/>
        </w:rPr>
        <w:t>О.В.</w:t>
      </w:r>
      <w:r w:rsidRPr="00624EB4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624EB4" w:rsidRDefault="00C85577" w:rsidP="00624EB4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49B465D9" w:rsidR="002A4D9C" w:rsidRPr="00624EB4" w:rsidRDefault="00C85577" w:rsidP="00624EB4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24EB4">
        <w:rPr>
          <w:rFonts w:cs="Times New Roman"/>
          <w:sz w:val="28"/>
          <w:szCs w:val="28"/>
          <w:lang w:val="uk-UA"/>
        </w:rPr>
        <w:t>У</w:t>
      </w:r>
      <w:r w:rsidR="00B62515" w:rsidRPr="00624EB4">
        <w:rPr>
          <w:rFonts w:cs="Times New Roman"/>
          <w:sz w:val="28"/>
          <w:szCs w:val="28"/>
          <w:lang w:val="uk-UA"/>
        </w:rPr>
        <w:t xml:space="preserve">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="00B62515" w:rsidRPr="00624EB4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28B40795" w14:textId="77777777" w:rsidR="00D91013" w:rsidRPr="00624EB4" w:rsidRDefault="00D91013" w:rsidP="00624EB4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FDD0C8A" w14:textId="2F9F93B3" w:rsidR="00B62515" w:rsidRPr="00624EB4" w:rsidRDefault="009523F2" w:rsidP="00624EB4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24EB4">
        <w:rPr>
          <w:rFonts w:cs="Times New Roman"/>
          <w:b/>
          <w:sz w:val="28"/>
          <w:szCs w:val="28"/>
          <w:lang w:val="uk-UA"/>
        </w:rPr>
        <w:t xml:space="preserve">п </w:t>
      </w:r>
      <w:r w:rsidR="00BE6B80" w:rsidRPr="00624EB4">
        <w:rPr>
          <w:rFonts w:cs="Times New Roman"/>
          <w:b/>
          <w:sz w:val="28"/>
          <w:szCs w:val="28"/>
          <w:lang w:val="uk-UA"/>
        </w:rPr>
        <w:t>о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с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т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а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н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о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в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и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л</w:t>
      </w:r>
      <w:r w:rsidRPr="00624EB4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624EB4">
        <w:rPr>
          <w:rFonts w:cs="Times New Roman"/>
          <w:b/>
          <w:sz w:val="28"/>
          <w:szCs w:val="28"/>
          <w:lang w:val="uk-UA"/>
        </w:rPr>
        <w:t>а</w:t>
      </w:r>
      <w:r w:rsidR="00B62515" w:rsidRPr="00624EB4">
        <w:rPr>
          <w:rFonts w:cs="Times New Roman"/>
          <w:b/>
          <w:sz w:val="28"/>
          <w:szCs w:val="28"/>
          <w:lang w:val="uk-UA"/>
        </w:rPr>
        <w:t>:</w:t>
      </w:r>
    </w:p>
    <w:p w14:paraId="4E36E29F" w14:textId="77777777" w:rsidR="00B62515" w:rsidRPr="00624EB4" w:rsidRDefault="00B62515" w:rsidP="00624EB4">
      <w:pPr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52EC8646" w:rsidR="009A0C1E" w:rsidRPr="00624EB4" w:rsidRDefault="009A0C1E" w:rsidP="00624EB4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624EB4">
        <w:rPr>
          <w:rFonts w:cs="Times New Roman"/>
          <w:sz w:val="28"/>
          <w:szCs w:val="28"/>
          <w:lang w:val="uk-UA"/>
        </w:rPr>
        <w:t>подовжи</w:t>
      </w:r>
      <w:r w:rsidR="00CC6503" w:rsidRPr="00624EB4">
        <w:rPr>
          <w:rFonts w:cs="Times New Roman"/>
          <w:sz w:val="28"/>
          <w:szCs w:val="28"/>
          <w:lang w:val="uk-UA"/>
        </w:rPr>
        <w:t xml:space="preserve">ти до </w:t>
      </w:r>
      <w:r w:rsidR="0059469D" w:rsidRPr="00624EB4">
        <w:rPr>
          <w:rFonts w:cs="Times New Roman"/>
          <w:sz w:val="28"/>
          <w:szCs w:val="28"/>
          <w:lang w:val="uk-UA"/>
        </w:rPr>
        <w:t xml:space="preserve">4 </w:t>
      </w:r>
      <w:r w:rsidR="00CC6503" w:rsidRPr="00624EB4">
        <w:rPr>
          <w:rFonts w:cs="Times New Roman"/>
          <w:sz w:val="28"/>
          <w:szCs w:val="28"/>
          <w:lang w:val="uk-UA"/>
        </w:rPr>
        <w:t>грудня</w:t>
      </w:r>
      <w:r w:rsidR="00841952" w:rsidRPr="00624EB4">
        <w:rPr>
          <w:rFonts w:cs="Times New Roman"/>
          <w:sz w:val="28"/>
          <w:szCs w:val="28"/>
          <w:lang w:val="uk-UA"/>
        </w:rPr>
        <w:t xml:space="preserve"> </w:t>
      </w:r>
      <w:r w:rsidR="00B62515" w:rsidRPr="00624EB4">
        <w:rPr>
          <w:rFonts w:cs="Times New Roman"/>
          <w:sz w:val="28"/>
          <w:szCs w:val="28"/>
          <w:lang w:val="uk-UA"/>
        </w:rPr>
        <w:t>202</w:t>
      </w:r>
      <w:r w:rsidR="003955B3" w:rsidRPr="00624EB4">
        <w:rPr>
          <w:rFonts w:cs="Times New Roman"/>
          <w:sz w:val="28"/>
          <w:szCs w:val="28"/>
          <w:lang w:val="uk-UA"/>
        </w:rPr>
        <w:t>5</w:t>
      </w:r>
      <w:r w:rsidR="00B62515" w:rsidRPr="00624EB4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624EB4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624EB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624EB4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624EB4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624EB4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624EB4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624EB4">
        <w:rPr>
          <w:rFonts w:cs="Times New Roman"/>
          <w:sz w:val="28"/>
          <w:szCs w:val="28"/>
        </w:rPr>
        <w:t xml:space="preserve"> </w:t>
      </w:r>
      <w:r w:rsidR="00FD7655" w:rsidRPr="00624EB4">
        <w:rPr>
          <w:rFonts w:eastAsia="Times New Roman" w:cs="Times New Roman"/>
          <w:sz w:val="28"/>
          <w:szCs w:val="28"/>
          <w:lang w:val="uk-UA" w:bidi="ar-S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285681" w:rsidRPr="00624EB4">
        <w:rPr>
          <w:rFonts w:eastAsia="Times New Roman" w:cs="Times New Roman"/>
          <w:sz w:val="28"/>
          <w:szCs w:val="28"/>
          <w:lang w:val="uk-UA" w:bidi="ar-SA"/>
        </w:rPr>
        <w:t>.</w:t>
      </w:r>
    </w:p>
    <w:p w14:paraId="780FEE58" w14:textId="77777777" w:rsidR="00C85577" w:rsidRPr="00624EB4" w:rsidRDefault="00C85577" w:rsidP="00624EB4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890921E" w14:textId="77777777" w:rsidR="0078569C" w:rsidRDefault="0078569C" w:rsidP="0078569C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BCE7603" w14:textId="77777777" w:rsidR="0078569C" w:rsidRDefault="0078569C" w:rsidP="0078569C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46D0F583" w14:textId="77777777" w:rsidR="0078569C" w:rsidRPr="0078569C" w:rsidRDefault="0078569C" w:rsidP="0078569C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78569C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14:paraId="00132E12" w14:textId="7305F690" w:rsidR="00624EB4" w:rsidRPr="0078569C" w:rsidRDefault="0078569C" w:rsidP="0078569C">
      <w:pPr>
        <w:ind w:left="4254"/>
        <w:jc w:val="center"/>
        <w:rPr>
          <w:b/>
          <w:caps/>
          <w:sz w:val="28"/>
          <w:szCs w:val="28"/>
        </w:rPr>
      </w:pPr>
      <w:r w:rsidRPr="0078569C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624EB4" w:rsidRPr="0078569C" w:rsidSect="00624EB4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58CF3" w14:textId="77777777" w:rsidR="00EB4EAD" w:rsidRDefault="00EB4EAD">
      <w:r>
        <w:separator/>
      </w:r>
    </w:p>
  </w:endnote>
  <w:endnote w:type="continuationSeparator" w:id="0">
    <w:p w14:paraId="689EDCCC" w14:textId="77777777" w:rsidR="00EB4EAD" w:rsidRDefault="00EB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002E" w14:textId="182C38C1" w:rsidR="00624EB4" w:rsidRPr="00624EB4" w:rsidRDefault="00624EB4">
    <w:pPr>
      <w:pStyle w:val="a7"/>
      <w:rPr>
        <w:sz w:val="10"/>
        <w:szCs w:val="10"/>
        <w:lang w:val="en-US"/>
      </w:rPr>
    </w:pPr>
    <w:r w:rsidRPr="00624EB4">
      <w:rPr>
        <w:sz w:val="10"/>
        <w:szCs w:val="10"/>
      </w:rPr>
      <w:fldChar w:fldCharType="begin"/>
    </w:r>
    <w:r w:rsidRPr="00624EB4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624EB4">
      <w:rPr>
        <w:sz w:val="10"/>
        <w:szCs w:val="10"/>
      </w:rPr>
      <w:fldChar w:fldCharType="separate"/>
    </w:r>
    <w:r w:rsidR="0078569C">
      <w:rPr>
        <w:rFonts w:cs="Arial Unicode MS"/>
        <w:noProof/>
        <w:sz w:val="10"/>
        <w:szCs w:val="10"/>
        <w:lang w:val="uk-UA"/>
      </w:rPr>
      <w:t>S:\Mashburo\2025\Suddi\Uhvala VP\195.docx</w:t>
    </w:r>
    <w:r w:rsidRPr="00624EB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B49C" w14:textId="116770F3" w:rsidR="00624EB4" w:rsidRPr="00624EB4" w:rsidRDefault="00624EB4">
    <w:pPr>
      <w:pStyle w:val="a7"/>
      <w:rPr>
        <w:sz w:val="10"/>
        <w:szCs w:val="10"/>
        <w:lang w:val="en-US"/>
      </w:rPr>
    </w:pPr>
    <w:r w:rsidRPr="00624EB4">
      <w:rPr>
        <w:sz w:val="10"/>
        <w:szCs w:val="10"/>
      </w:rPr>
      <w:fldChar w:fldCharType="begin"/>
    </w:r>
    <w:r w:rsidRPr="00624EB4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624EB4">
      <w:rPr>
        <w:sz w:val="10"/>
        <w:szCs w:val="10"/>
      </w:rPr>
      <w:fldChar w:fldCharType="separate"/>
    </w:r>
    <w:r w:rsidR="0078569C">
      <w:rPr>
        <w:rFonts w:cs="Arial Unicode MS"/>
        <w:noProof/>
        <w:sz w:val="10"/>
        <w:szCs w:val="10"/>
        <w:lang w:val="uk-UA"/>
      </w:rPr>
      <w:t>S:\Mashburo\2025\Suddi\Uhvala VP\195.docx</w:t>
    </w:r>
    <w:r w:rsidRPr="00624EB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FA5DB" w14:textId="77777777" w:rsidR="00EB4EAD" w:rsidRDefault="00EB4EAD">
      <w:r>
        <w:separator/>
      </w:r>
    </w:p>
  </w:footnote>
  <w:footnote w:type="continuationSeparator" w:id="0">
    <w:p w14:paraId="4420379D" w14:textId="77777777" w:rsidR="00EB4EAD" w:rsidRDefault="00EB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7717A0B4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78569C" w:rsidRPr="0078569C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0546F"/>
    <w:rsid w:val="00030142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50B2D"/>
    <w:rsid w:val="00151801"/>
    <w:rsid w:val="00167BF3"/>
    <w:rsid w:val="001732B1"/>
    <w:rsid w:val="00181B02"/>
    <w:rsid w:val="001917F9"/>
    <w:rsid w:val="001923A1"/>
    <w:rsid w:val="001F04CC"/>
    <w:rsid w:val="001F764B"/>
    <w:rsid w:val="00230431"/>
    <w:rsid w:val="00235538"/>
    <w:rsid w:val="002369FF"/>
    <w:rsid w:val="00236CBC"/>
    <w:rsid w:val="00243449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3F3E61"/>
    <w:rsid w:val="00407716"/>
    <w:rsid w:val="0047784A"/>
    <w:rsid w:val="004A44BC"/>
    <w:rsid w:val="004A5B50"/>
    <w:rsid w:val="004C2C97"/>
    <w:rsid w:val="004F50DA"/>
    <w:rsid w:val="004F67E4"/>
    <w:rsid w:val="00500CE7"/>
    <w:rsid w:val="00507739"/>
    <w:rsid w:val="00536F46"/>
    <w:rsid w:val="00546E5B"/>
    <w:rsid w:val="005619E6"/>
    <w:rsid w:val="005831F2"/>
    <w:rsid w:val="005866D0"/>
    <w:rsid w:val="0059469D"/>
    <w:rsid w:val="00596747"/>
    <w:rsid w:val="00597EB4"/>
    <w:rsid w:val="005A04E5"/>
    <w:rsid w:val="005C3065"/>
    <w:rsid w:val="005D7029"/>
    <w:rsid w:val="005D70E9"/>
    <w:rsid w:val="005F332D"/>
    <w:rsid w:val="00601ED9"/>
    <w:rsid w:val="006164A7"/>
    <w:rsid w:val="006176DC"/>
    <w:rsid w:val="00624EB4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8569C"/>
    <w:rsid w:val="007C418C"/>
    <w:rsid w:val="007D09C2"/>
    <w:rsid w:val="007D6569"/>
    <w:rsid w:val="008034A9"/>
    <w:rsid w:val="00803B82"/>
    <w:rsid w:val="00817A09"/>
    <w:rsid w:val="008362FF"/>
    <w:rsid w:val="00841952"/>
    <w:rsid w:val="0085080D"/>
    <w:rsid w:val="00891973"/>
    <w:rsid w:val="0089740C"/>
    <w:rsid w:val="008B592B"/>
    <w:rsid w:val="008F6DCD"/>
    <w:rsid w:val="00923A7F"/>
    <w:rsid w:val="00925E40"/>
    <w:rsid w:val="009414E7"/>
    <w:rsid w:val="00941D37"/>
    <w:rsid w:val="009523F2"/>
    <w:rsid w:val="00956A78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9F42E7"/>
    <w:rsid w:val="00A2449E"/>
    <w:rsid w:val="00A277EB"/>
    <w:rsid w:val="00A4171F"/>
    <w:rsid w:val="00A44FC3"/>
    <w:rsid w:val="00A552A2"/>
    <w:rsid w:val="00A85B11"/>
    <w:rsid w:val="00AA23CB"/>
    <w:rsid w:val="00AB0321"/>
    <w:rsid w:val="00AB2000"/>
    <w:rsid w:val="00AD2D19"/>
    <w:rsid w:val="00AF62D2"/>
    <w:rsid w:val="00B204F0"/>
    <w:rsid w:val="00B21883"/>
    <w:rsid w:val="00B51789"/>
    <w:rsid w:val="00B62515"/>
    <w:rsid w:val="00B63145"/>
    <w:rsid w:val="00B902C0"/>
    <w:rsid w:val="00B940F6"/>
    <w:rsid w:val="00B96F60"/>
    <w:rsid w:val="00BA0383"/>
    <w:rsid w:val="00BA67A1"/>
    <w:rsid w:val="00BA6AC0"/>
    <w:rsid w:val="00BD620D"/>
    <w:rsid w:val="00BE2F74"/>
    <w:rsid w:val="00BE6B80"/>
    <w:rsid w:val="00BF1BC0"/>
    <w:rsid w:val="00BF30D4"/>
    <w:rsid w:val="00C45B7C"/>
    <w:rsid w:val="00C65F6E"/>
    <w:rsid w:val="00C85577"/>
    <w:rsid w:val="00CA7CE6"/>
    <w:rsid w:val="00CB42AB"/>
    <w:rsid w:val="00CC6503"/>
    <w:rsid w:val="00D11F29"/>
    <w:rsid w:val="00D411AF"/>
    <w:rsid w:val="00D56EE8"/>
    <w:rsid w:val="00D62EA8"/>
    <w:rsid w:val="00D72471"/>
    <w:rsid w:val="00D91013"/>
    <w:rsid w:val="00DC0334"/>
    <w:rsid w:val="00DC042F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4EAD"/>
    <w:rsid w:val="00EB7D1C"/>
    <w:rsid w:val="00EC20A4"/>
    <w:rsid w:val="00EC4E07"/>
    <w:rsid w:val="00ED3CA8"/>
    <w:rsid w:val="00ED726B"/>
    <w:rsid w:val="00ED74A5"/>
    <w:rsid w:val="00EE4E96"/>
    <w:rsid w:val="00EF294A"/>
    <w:rsid w:val="00F02BEC"/>
    <w:rsid w:val="00F05A1D"/>
    <w:rsid w:val="00F10726"/>
    <w:rsid w:val="00F37852"/>
    <w:rsid w:val="00F43FE3"/>
    <w:rsid w:val="00F53DB0"/>
    <w:rsid w:val="00F80B46"/>
    <w:rsid w:val="00F84E67"/>
    <w:rsid w:val="00FA18FF"/>
    <w:rsid w:val="00FA53A6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62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4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9D74D10-16CD-40D7-BDFB-0A4F6CC1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5</cp:revision>
  <cp:lastPrinted>2025-11-07T08:05:00Z</cp:lastPrinted>
  <dcterms:created xsi:type="dcterms:W3CDTF">2025-11-05T08:14:00Z</dcterms:created>
  <dcterms:modified xsi:type="dcterms:W3CDTF">2025-11-07T08:05:00Z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