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FFE" w:rsidRDefault="00070FFE" w:rsidP="00070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070FFE" w:rsidRDefault="00070FFE" w:rsidP="00070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070FFE" w:rsidRDefault="00070FFE" w:rsidP="00070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070FFE" w:rsidRDefault="00070FFE" w:rsidP="00070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070FFE" w:rsidRDefault="00070FFE" w:rsidP="00070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070FFE" w:rsidRDefault="00070FFE" w:rsidP="00070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070FFE" w:rsidRDefault="00070FFE" w:rsidP="00070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7E582F" w:rsidRPr="00070FFE" w:rsidRDefault="00757E2A" w:rsidP="00070FFE">
      <w:pPr>
        <w:tabs>
          <w:tab w:val="center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070FF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про відмову у відкритті конституційного провадження у справі</w:t>
      </w:r>
      <w:r w:rsidR="00070FF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br/>
      </w:r>
      <w:r w:rsidRPr="00070FF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за</w:t>
      </w:r>
      <w:r w:rsidR="00070FF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Pr="00070FF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конституційною скаргою </w:t>
      </w:r>
      <w:r w:rsidR="002F2B45" w:rsidRPr="00070FF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Феценець-Сарачілової Марії Михайлівни </w:t>
      </w:r>
      <w:r w:rsidRPr="00070FF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щодо відповідності Констит</w:t>
      </w:r>
      <w:r w:rsidR="00DE647F" w:rsidRPr="00070FF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уції України (конституційності) </w:t>
      </w:r>
      <w:r w:rsidR="002F2B45" w:rsidRPr="00070FF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абзацу першого частини першої статті 26 З</w:t>
      </w:r>
      <w:r w:rsidR="00273D0E" w:rsidRPr="00070FF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акону України „Про загальнообов’</w:t>
      </w:r>
      <w:r w:rsidR="002F2B45" w:rsidRPr="00070FF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язкове </w:t>
      </w:r>
      <w:r w:rsidR="00070FF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br/>
      </w:r>
      <w:r w:rsidR="00070FF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ab/>
      </w:r>
      <w:r w:rsidR="002F2B45" w:rsidRPr="00070FF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державне пенсійне страхування“</w:t>
      </w:r>
    </w:p>
    <w:p w:rsidR="00757E2A" w:rsidRDefault="00757E2A" w:rsidP="00070FF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</w:pPr>
    </w:p>
    <w:p w:rsidR="00024099" w:rsidRPr="00070FFE" w:rsidRDefault="00757E2A" w:rsidP="00070FFE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 и ї в</w:t>
      </w:r>
      <w:r w:rsid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="00D155D3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Справа № 3-</w:t>
      </w:r>
      <w:r w:rsidR="002F2B45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165</w:t>
      </w:r>
      <w:r w:rsidR="00D155D3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/</w:t>
      </w:r>
      <w:r w:rsidR="00CB733D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2025</w:t>
      </w:r>
      <w:r w:rsidR="00D155D3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r w:rsidR="002F2B45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333</w:t>
      </w:r>
      <w:r w:rsidR="00CB733D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/25</w:t>
      </w: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</w:t>
      </w:r>
    </w:p>
    <w:p w:rsidR="002E1483" w:rsidRPr="00070FFE" w:rsidRDefault="00DC1C8A" w:rsidP="00070F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24 </w:t>
      </w:r>
      <w:r w:rsidR="00024099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вересня</w:t>
      </w:r>
      <w:r w:rsidR="00CB733D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2025</w:t>
      </w:r>
      <w:r w:rsidR="002E1483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року</w:t>
      </w:r>
    </w:p>
    <w:p w:rsidR="002E1483" w:rsidRPr="00070FFE" w:rsidRDefault="002F2B45" w:rsidP="00070F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№ </w:t>
      </w:r>
      <w:r w:rsidR="00560960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15</w:t>
      </w:r>
      <w:r w:rsidR="0047538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</w:t>
      </w:r>
      <w:r w:rsidR="00615AC1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ru-RU" w:eastAsia="ru-RU"/>
        </w:rPr>
        <w:t>-3</w:t>
      </w:r>
      <w:r w:rsidR="00CB733D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(І)/2025</w:t>
      </w:r>
      <w:r w:rsidR="002E1483" w:rsidRPr="00070FF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</w:p>
    <w:p w:rsidR="00070FFE" w:rsidRPr="00070FFE" w:rsidRDefault="00070FFE" w:rsidP="00070F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57E2A" w:rsidRPr="00070FFE" w:rsidRDefault="00757E2A" w:rsidP="00070F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Третя колегія суддів Першого сенату Конституційного Суду України у</w:t>
      </w:r>
      <w:r w:rsidR="00E36547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складі:</w:t>
      </w:r>
    </w:p>
    <w:p w:rsidR="00757E2A" w:rsidRPr="00070FFE" w:rsidRDefault="00757E2A" w:rsidP="00070F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CB733D" w:rsidRPr="00070FFE" w:rsidRDefault="00CB733D" w:rsidP="00070F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Петришина Олександра Віталійовича – головуючого,</w:t>
      </w:r>
    </w:p>
    <w:p w:rsidR="00CB733D" w:rsidRPr="00070FFE" w:rsidRDefault="00CB733D" w:rsidP="00070F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Кичуна Віктора Івановича,</w:t>
      </w:r>
    </w:p>
    <w:p w:rsidR="00CB733D" w:rsidRPr="00070FFE" w:rsidRDefault="00CB733D" w:rsidP="00070F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Олійник Алли Сергіївни – доповідача,</w:t>
      </w:r>
    </w:p>
    <w:p w:rsidR="00757E2A" w:rsidRPr="00070FFE" w:rsidRDefault="00757E2A" w:rsidP="00070F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57E2A" w:rsidRDefault="00757E2A" w:rsidP="00070FF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розглянула на засіданні питання про відкриття конституційного провадження у справі за конституційною скаргою </w:t>
      </w:r>
      <w:r w:rsidR="00963A61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Феценець-Сарачілової Марії Михайлівни</w:t>
      </w: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щодо відповідності Констит</w:t>
      </w:r>
      <w:r w:rsidR="00A0324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уції України (конституційності)</w:t>
      </w:r>
      <w:r w:rsidR="00A0324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="00963A61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абзацу першого частини першої статті 26 Закону України „Про загальнообов</w:t>
      </w:r>
      <w:r w:rsidR="007D6A32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’</w:t>
      </w:r>
      <w:r w:rsidR="00963A61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язкове державне пенсійне страхування“ від 9</w:t>
      </w:r>
      <w:r w:rsidR="00F13B27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963A61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липня 2003</w:t>
      </w:r>
      <w:r w:rsidR="00F13B27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року</w:t>
      </w:r>
      <w:r w:rsidR="00A0324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="00F13B27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№ </w:t>
      </w:r>
      <w:r w:rsidR="00963A61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1058</w:t>
      </w:r>
      <w:r w:rsidR="00F13B27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="007E582F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I</w:t>
      </w:r>
      <w:r w:rsidR="00963A61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V</w:t>
      </w:r>
      <w:r w:rsidR="007E582F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442B68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(Відомо</w:t>
      </w:r>
      <w:r w:rsidR="00963A61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сті Верховної Ради України, 2003</w:t>
      </w:r>
      <w:r w:rsidR="00442B68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р., №</w:t>
      </w:r>
      <w:r w:rsidR="00963A61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№</w:t>
      </w:r>
      <w:r w:rsidR="00442B68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963A61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49</w:t>
      </w:r>
      <w:r w:rsidR="007D6A32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</w:t>
      </w:r>
      <w:r w:rsidR="00963A61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51</w:t>
      </w:r>
      <w:r w:rsidR="00442B68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ст. </w:t>
      </w:r>
      <w:r w:rsidR="00963A61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376)</w:t>
      </w:r>
      <w:r w:rsidR="00A0324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="007D6A32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зі</w:t>
      </w:r>
      <w:r w:rsidR="00A0324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7D6A32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змінами</w:t>
      </w:r>
      <w:r w:rsidR="00963A61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</w:t>
      </w:r>
    </w:p>
    <w:p w:rsidR="00070FFE" w:rsidRPr="00070FFE" w:rsidRDefault="00070FFE" w:rsidP="00070F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57E2A" w:rsidRDefault="00757E2A" w:rsidP="00070FF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Заслуха</w:t>
      </w:r>
      <w:r w:rsidR="00DD4FFB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вши суддю-доповідача Олійник А.</w:t>
      </w: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С. та дослідивши матеріали справи, Третя колегія суддів Першого сенату Конституційного Суду України</w:t>
      </w:r>
    </w:p>
    <w:p w:rsidR="00070FFE" w:rsidRPr="00070FFE" w:rsidRDefault="00070FFE" w:rsidP="00070F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57E2A" w:rsidRPr="00070FFE" w:rsidRDefault="00757E2A" w:rsidP="00070FFE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070FF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у с т а н о в и л а:</w:t>
      </w:r>
    </w:p>
    <w:p w:rsidR="00FA3AE8" w:rsidRPr="00070FFE" w:rsidRDefault="00FA3AE8" w:rsidP="00070FFE">
      <w:pPr>
        <w:keepNext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963A61" w:rsidRPr="00070FFE" w:rsidRDefault="00757E2A" w:rsidP="00070FF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1.</w:t>
      </w:r>
      <w:r w:rsidR="00A05E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A05E74">
        <w:rPr>
          <w:rFonts w:ascii="Times New Roman" w:eastAsia="Times New Roman" w:hAnsi="Times New Roman" w:cs="Times New Roman"/>
          <w:color w:val="0D0D0D" w:themeColor="text1" w:themeTint="F2"/>
          <w:spacing w:val="-4"/>
          <w:sz w:val="28"/>
          <w:szCs w:val="28"/>
          <w:lang w:eastAsia="ru-RU"/>
        </w:rPr>
        <w:t>До Конституційного Суду України зверну</w:t>
      </w:r>
      <w:r w:rsidR="00963A61" w:rsidRPr="00A05E74">
        <w:rPr>
          <w:rFonts w:ascii="Times New Roman" w:eastAsia="Times New Roman" w:hAnsi="Times New Roman" w:cs="Times New Roman"/>
          <w:color w:val="0D0D0D" w:themeColor="text1" w:themeTint="F2"/>
          <w:spacing w:val="-4"/>
          <w:sz w:val="28"/>
          <w:szCs w:val="28"/>
          <w:lang w:eastAsia="ru-RU"/>
        </w:rPr>
        <w:t>лася</w:t>
      </w:r>
      <w:r w:rsidR="00A05E74" w:rsidRPr="00A05E74">
        <w:rPr>
          <w:rFonts w:ascii="Times New Roman" w:eastAsia="Times New Roman" w:hAnsi="Times New Roman" w:cs="Times New Roman"/>
          <w:color w:val="0D0D0D" w:themeColor="text1" w:themeTint="F2"/>
          <w:spacing w:val="-4"/>
          <w:sz w:val="28"/>
          <w:szCs w:val="28"/>
          <w:lang w:eastAsia="ru-RU"/>
        </w:rPr>
        <w:t xml:space="preserve"> </w:t>
      </w:r>
      <w:r w:rsidR="00963A61" w:rsidRPr="00A05E74">
        <w:rPr>
          <w:rFonts w:ascii="Times New Roman" w:eastAsia="Times New Roman" w:hAnsi="Times New Roman" w:cs="Times New Roman"/>
          <w:color w:val="0D0D0D" w:themeColor="text1" w:themeTint="F2"/>
          <w:spacing w:val="-4"/>
          <w:sz w:val="28"/>
          <w:szCs w:val="28"/>
          <w:lang w:eastAsia="ru-RU"/>
        </w:rPr>
        <w:t>Феценець-Сарачілова</w:t>
      </w:r>
      <w:r w:rsidR="00070FFE" w:rsidRPr="00A05E74">
        <w:rPr>
          <w:rFonts w:ascii="Times New Roman" w:eastAsia="Times New Roman" w:hAnsi="Times New Roman" w:cs="Times New Roman"/>
          <w:color w:val="0D0D0D" w:themeColor="text1" w:themeTint="F2"/>
          <w:spacing w:val="-4"/>
          <w:sz w:val="28"/>
          <w:szCs w:val="28"/>
          <w:lang w:eastAsia="ru-RU"/>
        </w:rPr>
        <w:t xml:space="preserve"> </w:t>
      </w:r>
      <w:r w:rsidR="00683273" w:rsidRPr="00A05E74">
        <w:rPr>
          <w:rFonts w:ascii="Times New Roman" w:eastAsia="Times New Roman" w:hAnsi="Times New Roman" w:cs="Times New Roman"/>
          <w:color w:val="0D0D0D" w:themeColor="text1" w:themeTint="F2"/>
          <w:spacing w:val="-4"/>
          <w:sz w:val="28"/>
          <w:szCs w:val="28"/>
          <w:lang w:eastAsia="ru-RU"/>
        </w:rPr>
        <w:t>М.М.</w:t>
      </w:r>
      <w:r w:rsidR="00683273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446F4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і</w:t>
      </w: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клопотанням перевірити на відповідність</w:t>
      </w:r>
      <w:r w:rsidR="00A05E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963A61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частині другій ст</w:t>
      </w:r>
      <w:r w:rsidR="007B2886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атті 8</w:t>
      </w:r>
      <w:r w:rsidR="00963A61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22FBE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Конституції </w:t>
      </w:r>
      <w:r w:rsidR="00C22FBE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України</w:t>
      </w:r>
      <w:r w:rsidR="007B2886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(конституційність) </w:t>
      </w:r>
      <w:r w:rsidR="007D6A32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абзац</w:t>
      </w:r>
      <w:r w:rsidR="00963A61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перш</w:t>
      </w:r>
      <w:r w:rsidR="007D6A32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ий</w:t>
      </w:r>
      <w:r w:rsidR="00963A61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частини першої статті 26 З</w:t>
      </w:r>
      <w:r w:rsidR="00273D0E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акону України „Про загальнообов’</w:t>
      </w:r>
      <w:r w:rsidR="00963A61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язкове державне пенсійне страхування“ від 9 липня 2003 року № 1058–IV</w:t>
      </w:r>
      <w:r w:rsidR="007D6A32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зі змінами</w:t>
      </w:r>
      <w:r w:rsidR="00963A61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8D3288" w:rsidRP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(далі</w:t>
      </w:r>
      <w:r w:rsidR="00A032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8D3288" w:rsidRP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="00A032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8D3288" w:rsidRP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Закон</w:t>
      </w:r>
      <w:r w:rsidR="00963A61" w:rsidRP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  <w:r w:rsidR="00963A61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8D3288" w:rsidRPr="00070FFE" w:rsidRDefault="008D3288" w:rsidP="00070FF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D3288" w:rsidRPr="00070FFE" w:rsidRDefault="008D3288" w:rsidP="00070FF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Відповідно до абзацу першого частини першої статті 26 Закону ,,особи мають право на призначення пенсії за віком після досягнення віку 60 років за</w:t>
      </w:r>
      <w:r w:rsidR="00273D0E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наявності страхового стажу не менше 15 років по 31 грудня 2017 року“.</w:t>
      </w:r>
    </w:p>
    <w:p w:rsidR="00906B3A" w:rsidRPr="00070FFE" w:rsidRDefault="00906B3A" w:rsidP="00070FF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57E2A" w:rsidRPr="00070FFE" w:rsidRDefault="00757E2A" w:rsidP="00070FF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2.</w:t>
      </w:r>
      <w:r w:rsidR="005D17B5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Зі змісту конституційної скарги та долучених до неї матеріалів убачається таке.</w:t>
      </w:r>
    </w:p>
    <w:p w:rsidR="008D3288" w:rsidRPr="00070FFE" w:rsidRDefault="008D3288" w:rsidP="00070FF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Феценець-Сарачілова М</w:t>
      </w:r>
      <w:r w:rsidR="00FE529B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</w:t>
      </w:r>
      <w:r w:rsidR="00FE529B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звернулася до </w:t>
      </w:r>
      <w:r w:rsidR="00FE529B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Івано-Франківського окружного адміністративного суду з позовом до Головного управління Пенсійного фонду України в Івано-Франківській області, Головного управління Пенсійного фонду України у Львівській області про визнання дій протиправним</w:t>
      </w:r>
      <w:r w:rsidR="007D6A32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</w:t>
      </w:r>
      <w:r w:rsidR="00FE529B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та</w:t>
      </w:r>
      <w:r w:rsid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FE529B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зобов’язання вчинити дії, </w:t>
      </w: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якому просила визнати протиправним та скасувати </w:t>
      </w:r>
      <w:r w:rsidR="00FE529B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рішення</w:t>
      </w:r>
      <w:r w:rsidR="00333505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Головного управління Пенсійного фонду України у Львівській області</w:t>
      </w:r>
      <w:r w:rsid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="00FE529B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від 20 лютого 2024 року № 0916300018878 </w:t>
      </w: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 відмову у призначенні пенсії за</w:t>
      </w:r>
      <w:r w:rsidR="00333505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віком та зобов’язати при</w:t>
      </w:r>
      <w:r w:rsidR="00FE529B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значити пенсію за віком з 12 лютого </w:t>
      </w: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2024</w:t>
      </w:r>
      <w:r w:rsidR="00FE529B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року</w:t>
      </w: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8D3288" w:rsidRPr="00070FFE" w:rsidRDefault="008D3288" w:rsidP="00070FF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Івано-Франківськ</w:t>
      </w:r>
      <w:r w:rsidR="00FE529B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ий</w:t>
      </w: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окружн</w:t>
      </w:r>
      <w:r w:rsidR="00FE529B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ий</w:t>
      </w: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адміністративн</w:t>
      </w:r>
      <w:r w:rsid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ий суд рішенням</w:t>
      </w:r>
      <w:r w:rsid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="00FE529B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від</w:t>
      </w:r>
      <w:r w:rsid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FE529B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24</w:t>
      </w:r>
      <w:r w:rsid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FE529B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червня </w:t>
      </w: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2024</w:t>
      </w:r>
      <w:r w:rsidR="00FE529B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року</w:t>
      </w: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залишеним без змін постановою Восьмого апеляційного а</w:t>
      </w:r>
      <w:r w:rsidR="00FE529B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дміністративного суду від 25 червня </w:t>
      </w: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2025</w:t>
      </w:r>
      <w:r w:rsidR="00FE529B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року, у позові відмовив.</w:t>
      </w:r>
    </w:p>
    <w:p w:rsidR="008D3288" w:rsidRPr="00070FFE" w:rsidRDefault="00FE529B" w:rsidP="00070FF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05E74">
        <w:rPr>
          <w:rFonts w:ascii="Times New Roman" w:eastAsia="Times New Roman" w:hAnsi="Times New Roman" w:cs="Times New Roman"/>
          <w:color w:val="0D0D0D" w:themeColor="text1" w:themeTint="F2"/>
          <w:spacing w:val="-6"/>
          <w:sz w:val="28"/>
          <w:szCs w:val="28"/>
          <w:lang w:eastAsia="ru-RU"/>
        </w:rPr>
        <w:t>Суди першої та апеляційної інстанцій, відмов</w:t>
      </w:r>
      <w:r w:rsidR="00070FFE" w:rsidRPr="00A05E74">
        <w:rPr>
          <w:rFonts w:ascii="Times New Roman" w:eastAsia="Times New Roman" w:hAnsi="Times New Roman" w:cs="Times New Roman"/>
          <w:color w:val="0D0D0D" w:themeColor="text1" w:themeTint="F2"/>
          <w:spacing w:val="-6"/>
          <w:sz w:val="28"/>
          <w:szCs w:val="28"/>
          <w:lang w:eastAsia="ru-RU"/>
        </w:rPr>
        <w:t>ивши</w:t>
      </w:r>
      <w:r w:rsidR="00A05E74" w:rsidRPr="00A05E74">
        <w:rPr>
          <w:rFonts w:ascii="Times New Roman" w:eastAsia="Times New Roman" w:hAnsi="Times New Roman" w:cs="Times New Roman"/>
          <w:color w:val="0D0D0D" w:themeColor="text1" w:themeTint="F2"/>
          <w:spacing w:val="-6"/>
          <w:sz w:val="28"/>
          <w:szCs w:val="28"/>
          <w:lang w:eastAsia="ru-RU"/>
        </w:rPr>
        <w:t xml:space="preserve"> </w:t>
      </w:r>
      <w:r w:rsidRPr="00A05E74">
        <w:rPr>
          <w:rFonts w:ascii="Times New Roman" w:eastAsia="Times New Roman" w:hAnsi="Times New Roman" w:cs="Times New Roman"/>
          <w:color w:val="0D0D0D" w:themeColor="text1" w:themeTint="F2"/>
          <w:spacing w:val="-6"/>
          <w:sz w:val="28"/>
          <w:szCs w:val="28"/>
          <w:lang w:eastAsia="ru-RU"/>
        </w:rPr>
        <w:t>Феценець-</w:t>
      </w:r>
      <w:r w:rsidR="007D6A32" w:rsidRPr="00A05E74">
        <w:rPr>
          <w:rFonts w:ascii="Times New Roman" w:eastAsia="Times New Roman" w:hAnsi="Times New Roman" w:cs="Times New Roman"/>
          <w:color w:val="0D0D0D" w:themeColor="text1" w:themeTint="F2"/>
          <w:spacing w:val="-6"/>
          <w:sz w:val="28"/>
          <w:szCs w:val="28"/>
          <w:lang w:eastAsia="ru-RU"/>
        </w:rPr>
        <w:t>С</w:t>
      </w:r>
      <w:r w:rsidRPr="00A05E74">
        <w:rPr>
          <w:rFonts w:ascii="Times New Roman" w:eastAsia="Times New Roman" w:hAnsi="Times New Roman" w:cs="Times New Roman"/>
          <w:color w:val="0D0D0D" w:themeColor="text1" w:themeTint="F2"/>
          <w:spacing w:val="-6"/>
          <w:sz w:val="28"/>
          <w:szCs w:val="28"/>
          <w:lang w:eastAsia="ru-RU"/>
        </w:rPr>
        <w:t>арачіловій</w:t>
      </w:r>
      <w:r w:rsidR="00070FFE" w:rsidRPr="00A05E74">
        <w:rPr>
          <w:rFonts w:ascii="Times New Roman" w:eastAsia="Times New Roman" w:hAnsi="Times New Roman" w:cs="Times New Roman"/>
          <w:color w:val="0D0D0D" w:themeColor="text1" w:themeTint="F2"/>
          <w:spacing w:val="-6"/>
          <w:sz w:val="28"/>
          <w:szCs w:val="28"/>
          <w:lang w:eastAsia="ru-RU"/>
        </w:rPr>
        <w:t xml:space="preserve"> </w:t>
      </w:r>
      <w:r w:rsidRPr="00A05E74">
        <w:rPr>
          <w:rFonts w:ascii="Times New Roman" w:eastAsia="Times New Roman" w:hAnsi="Times New Roman" w:cs="Times New Roman"/>
          <w:color w:val="0D0D0D" w:themeColor="text1" w:themeTint="F2"/>
          <w:spacing w:val="-6"/>
          <w:sz w:val="28"/>
          <w:szCs w:val="28"/>
          <w:lang w:eastAsia="ru-RU"/>
        </w:rPr>
        <w:t>М.М.</w:t>
      </w: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 позові, керувалися тим, що</w:t>
      </w:r>
      <w:r w:rsidR="008D3288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на дату звер</w:t>
      </w:r>
      <w:r w:rsidR="007D6A32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нення</w:t>
      </w:r>
      <w:r w:rsidR="00A05E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7D6A32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із</w:t>
      </w:r>
      <w:r w:rsid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7D6A32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заявою про призначення</w:t>
      </w:r>
      <w:r w:rsidR="008D3288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пенсії Феценець-Сарачілова М.М. не досягла віку</w:t>
      </w:r>
      <w:r w:rsidR="00A05E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8D3288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60 років, </w:t>
      </w:r>
      <w:r w:rsidR="007D6A32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</w:t>
      </w:r>
      <w:r w:rsidR="008D3288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становленого статтею 26 Закону, то</w:t>
      </w:r>
      <w:r w:rsidR="00792CB9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му </w:t>
      </w:r>
      <w:r w:rsidR="008D3288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рішення Головного управління Пенсійного фонду України</w:t>
      </w:r>
      <w:r w:rsidR="00A05E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="008D3288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у Львівській області </w:t>
      </w: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від 20 лютого 2024 року </w:t>
      </w:r>
      <w:r w:rsidR="008D3288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№</w:t>
      </w:r>
      <w:r w:rsidR="00273D0E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="008D3288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0916300018878 про відмову</w:t>
      </w:r>
      <w:r w:rsidR="00A05E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="008D3288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призначенні пенсії не підлягає скасуванню.</w:t>
      </w:r>
    </w:p>
    <w:p w:rsidR="00FE529B" w:rsidRPr="00070FFE" w:rsidRDefault="00FE529B" w:rsidP="00070FF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Верховний Суд у складі</w:t>
      </w:r>
      <w:r w:rsidR="00A0324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колегії суддів</w:t>
      </w: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Касаційного адміністративного суду ухвалою</w:t>
      </w:r>
      <w:r w:rsidR="00A0324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від</w:t>
      </w:r>
      <w:r w:rsid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23</w:t>
      </w:r>
      <w:r w:rsid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липня 2025 року відмовив у відкритті касаційного провадження</w:t>
      </w:r>
      <w:r w:rsid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за</w:t>
      </w:r>
      <w:r w:rsid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касаційною с</w:t>
      </w:r>
      <w:r w:rsidR="00792CB9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каргою  Феценець-Сарачілов</w:t>
      </w:r>
      <w:r w:rsidR="00A0324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ої</w:t>
      </w:r>
      <w:r w:rsidR="00792CB9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М.</w:t>
      </w:r>
      <w:r w:rsidR="008F7E0D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М.</w:t>
      </w:r>
      <w:r w:rsidR="00234566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оскільки </w:t>
      </w: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касаційну скаргу подано на судове рішення</w:t>
      </w:r>
      <w:r w:rsidR="008F7E0D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що не підляга</w:t>
      </w:r>
      <w:r w:rsidR="00234566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є</w:t>
      </w:r>
      <w:r w:rsidR="008F7E0D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касаційному оскарженню.</w:t>
      </w:r>
    </w:p>
    <w:p w:rsidR="008D3288" w:rsidRPr="00070FFE" w:rsidRDefault="008D3288" w:rsidP="00070FF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52ADB" w:rsidRPr="00070FFE" w:rsidRDefault="00ED4422" w:rsidP="00070FF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</w:t>
      </w:r>
      <w:r w:rsidR="00100C5A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</w:t>
      </w:r>
      <w:r w:rsidR="002C0417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Обґрунтовуючи твердження щодо невід</w:t>
      </w:r>
      <w:r w:rsid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повідності Конституції України </w:t>
      </w:r>
      <w:r w:rsidR="00FD45E1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оспорюван</w:t>
      </w:r>
      <w:r w:rsidR="008420C7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ого</w:t>
      </w:r>
      <w:r w:rsidR="002C0417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FD45E1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припис</w:t>
      </w:r>
      <w:r w:rsidR="008420C7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</w:t>
      </w:r>
      <w:r w:rsidR="00832295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Закону,</w:t>
      </w:r>
      <w:r w:rsidR="00FD609F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E4416B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суб’єкт</w:t>
      </w:r>
      <w:r w:rsidR="00FB085F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права на конституційну скаргу</w:t>
      </w:r>
      <w:r w:rsidR="00FD609F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зазначає, щ</w:t>
      </w:r>
      <w:r w:rsidR="00100C5A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</w:t>
      </w:r>
      <w:r w:rsidR="00602828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852ADB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згідно з</w:t>
      </w:r>
      <w:r w:rsidR="00234566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і</w:t>
      </w:r>
      <w:r w:rsidR="00852ADB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статт</w:t>
      </w:r>
      <w:r w:rsidR="00234566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ею</w:t>
      </w:r>
      <w:r w:rsidR="00A0324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26 Закону </w:t>
      </w:r>
      <w:r w:rsidR="00F83525"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„</w:t>
      </w:r>
      <w:r w:rsidR="00852ADB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право на пенсію мають жінки після досягнення 60 річного віку, яким звужено соціальні права, а саме збільшено  граничний  вік особи для виходу на пенсію</w:t>
      </w:r>
      <w:r w:rsidR="00A0324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“</w:t>
      </w:r>
      <w:r w:rsidR="00852ADB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="00A0324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водночас відповідно до</w:t>
      </w:r>
      <w:r w:rsidR="00852ADB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статті 12 Закону України </w:t>
      </w:r>
      <w:r w:rsidR="00F83525"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„</w:t>
      </w:r>
      <w:r w:rsidR="00852ADB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 пенсійне забезпечення</w:t>
      </w:r>
      <w:r w:rsidR="00A0324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“</w:t>
      </w:r>
      <w:r w:rsidR="00273D0E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F83525"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„</w:t>
      </w:r>
      <w:r w:rsidR="00852ADB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право на пенсію за віком мають:</w:t>
      </w:r>
      <w:r w:rsidR="00E472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852ADB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чоловіки – після досягнення 60 років і при стажі роботи не менше</w:t>
      </w:r>
      <w:r w:rsidR="00A0324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852ADB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25</w:t>
      </w:r>
      <w:r w:rsid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852ADB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років;</w:t>
      </w:r>
      <w:r w:rsidR="00E472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852ADB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жінки –</w:t>
      </w:r>
      <w:r w:rsidR="00F83525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852ADB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після досягнення 55 років і при стажі роботи не менше 20 років, в</w:t>
      </w:r>
      <w:r w:rsidR="00A0324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852ADB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частині звуження соціальних прав жінок</w:t>
      </w:r>
      <w:r w:rsidR="00F83525"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“</w:t>
      </w:r>
      <w:r w:rsidR="00852ADB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</w:t>
      </w:r>
    </w:p>
    <w:p w:rsidR="00F83525" w:rsidRPr="00070FFE" w:rsidRDefault="00852ADB" w:rsidP="00070FF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Феценець-Сарачілов</w:t>
      </w:r>
      <w:r w:rsidR="00F83525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</w:t>
      </w: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М.М. наголошує, що</w:t>
      </w:r>
      <w:r w:rsidR="00A05E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F83525"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„</w:t>
      </w:r>
      <w:r w:rsidR="00CA266E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розпочинаючи свою трудову діяльність </w:t>
      </w:r>
      <w:r w:rsidR="00234566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&lt;…&gt;</w:t>
      </w:r>
      <w:r w:rsidR="007D6A32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об’</w:t>
      </w:r>
      <w:r w:rsidR="00CA266E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єктивно передбачала настання відповідних наслідків, а саме призначення пенсій у віці 55 років &lt;…&gt; зміна умов призначення пенсії за віком жінкам призвела до такого нормативного регулювання призначення пенсії, яке суттєво вплинуло на очікування</w:t>
      </w:r>
      <w:r w:rsidR="007D6A32"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“</w:t>
      </w:r>
      <w:r w:rsidR="00F83525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що порушує принцип верховенства права, складовою якого є юридична визначеність.</w:t>
      </w:r>
    </w:p>
    <w:p w:rsidR="00963ED2" w:rsidRPr="00070FFE" w:rsidRDefault="007239D5" w:rsidP="00070FF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 </w:t>
      </w:r>
      <w:r w:rsidR="00B71CEC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підтвердження своїх доводів суб’</w:t>
      </w: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єкт права на конституційну скаргу посилається </w:t>
      </w:r>
      <w:r w:rsidR="00A3336E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 окре</w:t>
      </w:r>
      <w:r w:rsidR="00F41555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мі приписи Конституції України,</w:t>
      </w:r>
      <w:r w:rsidR="000471A4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963ED2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Закон</w:t>
      </w:r>
      <w:r w:rsidR="007D6A32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</w:t>
      </w:r>
      <w:r w:rsidR="00963ED2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 w:rsidR="00A05E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="00963ED2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акон</w:t>
      </w:r>
      <w:r w:rsidR="00A05E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ів</w:t>
      </w:r>
      <w:r w:rsidR="00963ED2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України </w:t>
      </w:r>
      <w:r w:rsidR="00C97034"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„</w:t>
      </w:r>
      <w:r w:rsidR="00963ED2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</w:t>
      </w:r>
      <w:r w:rsidR="00A05E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963ED2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правотворчу діяльність</w:t>
      </w:r>
      <w:r w:rsidR="00C97034"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“</w:t>
      </w:r>
      <w:r w:rsidR="007D6A32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="00852ADB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273D0E"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„</w:t>
      </w:r>
      <w:r w:rsidR="00852ADB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 пенсійне забезпечення</w:t>
      </w:r>
      <w:r w:rsidR="007D6A32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“</w:t>
      </w:r>
      <w:r w:rsidR="00852ADB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 w:rsidR="00963ED2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Кодекс</w:t>
      </w:r>
      <w:r w:rsidR="00234566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</w:t>
      </w:r>
      <w:r w:rsidR="00963ED2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адміністративного судочинства України, на рішення Конституційного Суду України, практику Європейського суду з прав людини, а також на судові рішення у своїй справі та у справах інших осіб.</w:t>
      </w:r>
      <w:r w:rsidR="00C97034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963ED2" w:rsidRPr="00070FFE" w:rsidRDefault="00963ED2" w:rsidP="00070FF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B86704" w:rsidRPr="00070FFE" w:rsidRDefault="00F41555" w:rsidP="00070FF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</w:t>
      </w:r>
      <w:r w:rsidR="00B86704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Вирішуючи питання щодо відкриття конституційного провадження</w:t>
      </w:r>
      <w:r w:rsidR="00A05E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="00B86704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</w:t>
      </w:r>
      <w:r w:rsidR="00A05E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B86704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справі, Третя колегія суддів Першого сенату Конституційного Суду України керується таким.</w:t>
      </w:r>
    </w:p>
    <w:p w:rsidR="000C55A9" w:rsidRPr="00070FFE" w:rsidRDefault="00B86704" w:rsidP="00070FFE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Відповідно до Закону України „Про Конституційний Суд України“</w:t>
      </w:r>
      <w:r w:rsidR="000C55A9"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BF667C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конституційною </w:t>
      </w:r>
      <w:r w:rsidR="000C55A9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скаргою є п</w:t>
      </w:r>
      <w:r w:rsidR="00BF667C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одане до Конституційного Суду </w:t>
      </w:r>
      <w:r w:rsidR="000C55A9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України</w:t>
      </w:r>
      <w:r w:rsidR="000C55A9"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0C55A9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письмов</w:t>
      </w:r>
      <w:r w:rsidR="00BF667C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е </w:t>
      </w:r>
      <w:r w:rsidR="00BF667C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клопотання</w:t>
      </w:r>
      <w:r w:rsidR="000C55A9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щ</w:t>
      </w:r>
      <w:r w:rsidR="00BF667C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одо перевірки на відповідність </w:t>
      </w:r>
      <w:r w:rsidR="000C55A9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Конституції</w:t>
      </w:r>
      <w:r w:rsidR="000C55A9"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0C55A9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України (конституційність) закону України (його окремих положень),</w:t>
      </w:r>
      <w:r w:rsidR="000C55A9"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7C266F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що </w:t>
      </w:r>
      <w:r w:rsid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застосований</w:t>
      </w:r>
      <w:r w:rsid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="00BF667C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</w:t>
      </w:r>
      <w:r w:rsidR="000C55A9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остаточ</w:t>
      </w:r>
      <w:r w:rsidR="00BF667C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ному судовому рішенні у справі </w:t>
      </w:r>
      <w:r w:rsidR="000C55A9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суб’єкта</w:t>
      </w:r>
      <w:r w:rsidR="000C55A9"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права на </w:t>
      </w:r>
      <w:r w:rsidR="00BF667C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конституційну</w:t>
      </w:r>
      <w:r w:rsidR="000C55A9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скаргу</w:t>
      </w:r>
      <w:r w:rsidR="00BF667C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(частина перша</w:t>
      </w:r>
      <w:r w:rsidR="007C266F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статті </w:t>
      </w:r>
      <w:r w:rsidR="00BF667C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55);</w:t>
      </w:r>
      <w:r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конституційна скарга має містити обґрунтування тверджень щодо неконституційності закону України (його окремих </w:t>
      </w:r>
      <w:r w:rsidR="007D6A32"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положень</w:t>
      </w:r>
      <w:r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)</w:t>
      </w:r>
      <w:r w:rsid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br/>
      </w:r>
      <w:r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із зазначенням того, яке з гарантованих Конституцією України прав людини,</w:t>
      </w:r>
      <w:r w:rsid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br/>
      </w:r>
      <w:r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на думку суб’єкта права на конституційну скаргу, зазнало порушення внаслідок застосування закону (пун</w:t>
      </w:r>
      <w:r w:rsidR="00033F5E"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кт 6 частини другої статті 55);</w:t>
      </w:r>
      <w:r w:rsidR="00BF667C"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конституційна скарга вважається </w:t>
      </w:r>
      <w:r w:rsidR="000C55A9"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прийнятною за умов її відпов</w:t>
      </w:r>
      <w:r w:rsid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ідності </w:t>
      </w:r>
      <w:r w:rsidR="00BF667C"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вимогам, передбаченим </w:t>
      </w:r>
      <w:r w:rsidR="000C55A9"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статтями 55, </w:t>
      </w:r>
      <w:r w:rsid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56 цього закону (абзац перший </w:t>
      </w:r>
      <w:r w:rsidR="000C55A9"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частини першої статті 77).</w:t>
      </w:r>
    </w:p>
    <w:p w:rsidR="00906E00" w:rsidRPr="00070FFE" w:rsidRDefault="00D46880" w:rsidP="00070FF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Зі </w:t>
      </w:r>
      <w:r w:rsidRP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змісту конституційної скарги вбачається, що </w:t>
      </w:r>
      <w:r w:rsidR="00C97034" w:rsidRP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Феценець-Сарачілова М.М.</w:t>
      </w:r>
      <w:r w:rsidR="0088673F" w:rsidRP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B86704" w:rsidRP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</w:t>
      </w:r>
      <w:r w:rsidR="0088673F" w:rsidRP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97034" w:rsidRP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навела</w:t>
      </w:r>
      <w:r w:rsidR="00B86704" w:rsidRP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обґрунтування тв</w:t>
      </w:r>
      <w:r w:rsidR="000471A4" w:rsidRP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ерджень щодо неконституційності </w:t>
      </w:r>
      <w:r w:rsidR="00C97034" w:rsidRP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абзацу першого частини першої статті 26 Закону</w:t>
      </w:r>
      <w:r w:rsidR="00273D0E" w:rsidRP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та порушення своїх конституційних прав,</w:t>
      </w:r>
      <w:r w:rsid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B86704" w:rsidRP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</w:t>
      </w:r>
      <w:r w:rsid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B86704" w:rsidRP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фактично вислови</w:t>
      </w:r>
      <w:r w:rsidR="008C2108" w:rsidRP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ла незгоду із законодавчим </w:t>
      </w:r>
      <w:r w:rsidR="007D6A32" w:rsidRP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</w:t>
      </w:r>
      <w:r w:rsidR="008C2108" w:rsidRP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регулюванням питання поря</w:t>
      </w:r>
      <w:r w:rsidR="00273D0E" w:rsidRP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дку призначення пенсій за віком</w:t>
      </w:r>
      <w:r w:rsidR="00906E00" w:rsidRP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чим не дотримала вимог пункту 6 частини другої статті 55 Закону України „Про Конституційний Суд України“.</w:t>
      </w:r>
    </w:p>
    <w:p w:rsidR="00FB2419" w:rsidRPr="00070FFE" w:rsidRDefault="00BF667C" w:rsidP="00070FF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Наведене є </w:t>
      </w:r>
      <w:r w:rsidR="00FB2419" w:rsidRP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підставою для відмови у відкритті конституційного провадження</w:t>
      </w:r>
      <w:r w:rsidRP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B2419" w:rsidRP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 справі згід</w:t>
      </w:r>
      <w:r w:rsidRP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 з пунктом 4 статті 62 Закону</w:t>
      </w:r>
      <w:r w:rsidR="00FB2419" w:rsidRP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України</w:t>
      </w:r>
      <w:r w:rsid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FB2419" w:rsidRP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„Про</w:t>
      </w:r>
      <w:r w:rsid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B2419" w:rsidRP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Конституційний Суд України“ – неприйнятність  конституційної скарги.</w:t>
      </w:r>
    </w:p>
    <w:p w:rsidR="005739AD" w:rsidRPr="00070FFE" w:rsidRDefault="005739AD" w:rsidP="00A032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86704" w:rsidRDefault="00BF667C" w:rsidP="00070FF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Ураховуючи</w:t>
      </w:r>
      <w:r w:rsidR="00B86704" w:rsidRP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викладен</w:t>
      </w:r>
      <w:r w:rsidR="00F41555" w:rsidRP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 та керуючись статтями 147, </w:t>
      </w:r>
      <w:r w:rsidR="00E66A6D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151</w:t>
      </w:r>
      <w:r w:rsidR="00E66A6D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vertAlign w:val="superscript"/>
          <w:lang w:eastAsia="ru-RU"/>
        </w:rPr>
        <w:t>1</w:t>
      </w:r>
      <w:r w:rsidR="00B86704" w:rsidRP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153 Конституції України, на підставі статей 7, 32, 37, 50, 55, 56, 58, 61, </w:t>
      </w:r>
      <w:r w:rsidR="0006104C" w:rsidRP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62, </w:t>
      </w:r>
      <w:r w:rsidR="00B86704" w:rsidRP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77,</w:t>
      </w:r>
      <w:r w:rsidR="00407BB7" w:rsidRP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B86704" w:rsidRP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83, 86 Закону України „Про Конституційний Суд України“, відповідно до § 45, §</w:t>
      </w:r>
      <w:r w:rsid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B86704" w:rsidRPr="00070FF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56 Регламенту Конституційного Суду України Третя колегія суддів Першого сенату Конституційного Суду України</w:t>
      </w:r>
    </w:p>
    <w:p w:rsidR="00A03246" w:rsidRPr="00070FFE" w:rsidRDefault="00A03246" w:rsidP="00A032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86704" w:rsidRPr="00070FFE" w:rsidRDefault="0088673F" w:rsidP="00070F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070FF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п о с т н о в и л а</w:t>
      </w:r>
      <w:r w:rsidR="00B86704" w:rsidRPr="00070FF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:</w:t>
      </w:r>
    </w:p>
    <w:p w:rsidR="00070FFE" w:rsidRDefault="00070FFE" w:rsidP="00A0324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:rsidR="00B86704" w:rsidRPr="00070FFE" w:rsidRDefault="005739AD" w:rsidP="00070FFE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1. </w:t>
      </w:r>
      <w:r w:rsidR="00B86704"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Відмовити у відкритті конституційного провадження у справі</w:t>
      </w:r>
      <w:r w:rsid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br/>
      </w:r>
      <w:r w:rsidR="00B86704"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за</w:t>
      </w:r>
      <w:r w:rsid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B86704"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конституційною скаргою</w:t>
      </w:r>
      <w:r w:rsidR="00222D4A"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8C2108"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Феценець-Сарачілової Марії Михайлівни </w:t>
      </w:r>
      <w:r w:rsidR="00222D4A"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щодо відповідності Конституції України (конституційності) </w:t>
      </w:r>
      <w:r w:rsidR="008C2108"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абзацу першого</w:t>
      </w:r>
      <w:r w:rsid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br/>
      </w:r>
      <w:r w:rsidR="008C2108"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lastRenderedPageBreak/>
        <w:t>частини першої статті 26 Закону України „Про загальнообов</w:t>
      </w:r>
      <w:r w:rsidR="007D6A32"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’</w:t>
      </w:r>
      <w:r w:rsidR="008C2108"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язкове державне пенсійне страхування“</w:t>
      </w:r>
      <w:r w:rsidR="007D6A32"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7D6A32" w:rsidRPr="00070F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від 9 липня 2003 року № 1058–IV зі змінами</w:t>
      </w:r>
      <w:r w:rsidR="007D6A32"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B86704"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на</w:t>
      </w:r>
      <w:r w:rsid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B86704"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підставі пункту 4</w:t>
      </w:r>
      <w:r w:rsid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B86704"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статті 62 Закону України „Про Конституційний Суд України“ – неприйнятність конституційної скарги.</w:t>
      </w:r>
    </w:p>
    <w:p w:rsidR="00B86704" w:rsidRPr="00070FFE" w:rsidRDefault="00B86704" w:rsidP="00070FFE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:rsidR="0007363F" w:rsidRDefault="00B86704" w:rsidP="00070FFE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070FF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2. Ухвала є остаточною.</w:t>
      </w:r>
    </w:p>
    <w:p w:rsidR="00070FFE" w:rsidRDefault="00070FFE" w:rsidP="00070FF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:rsidR="00070FFE" w:rsidRDefault="00070FFE" w:rsidP="00070FF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:rsidR="00070FFE" w:rsidRDefault="00070FFE" w:rsidP="00070FF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:rsidR="003A548C" w:rsidRPr="003A548C" w:rsidRDefault="003A548C" w:rsidP="003A548C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color w:val="0D0D0D" w:themeColor="text1" w:themeTint="F2"/>
          <w:sz w:val="28"/>
          <w:szCs w:val="28"/>
          <w:lang w:eastAsia="ru-RU"/>
        </w:rPr>
      </w:pPr>
      <w:bookmarkStart w:id="0" w:name="_GoBack"/>
      <w:r w:rsidRPr="003A548C">
        <w:rPr>
          <w:rFonts w:ascii="Times New Roman" w:eastAsia="Times New Roman" w:hAnsi="Times New Roman" w:cs="Times New Roman"/>
          <w:b/>
          <w:caps/>
          <w:color w:val="0D0D0D" w:themeColor="text1" w:themeTint="F2"/>
          <w:sz w:val="28"/>
          <w:szCs w:val="28"/>
          <w:lang w:eastAsia="ru-RU"/>
        </w:rPr>
        <w:t>Третя колегія суддів</w:t>
      </w:r>
    </w:p>
    <w:p w:rsidR="003A548C" w:rsidRPr="003A548C" w:rsidRDefault="003A548C" w:rsidP="003A548C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color w:val="0D0D0D" w:themeColor="text1" w:themeTint="F2"/>
          <w:sz w:val="28"/>
          <w:szCs w:val="28"/>
          <w:lang w:eastAsia="ru-RU"/>
        </w:rPr>
      </w:pPr>
      <w:r w:rsidRPr="003A548C">
        <w:rPr>
          <w:rFonts w:ascii="Times New Roman" w:eastAsia="Times New Roman" w:hAnsi="Times New Roman" w:cs="Times New Roman"/>
          <w:b/>
          <w:caps/>
          <w:color w:val="0D0D0D" w:themeColor="text1" w:themeTint="F2"/>
          <w:sz w:val="28"/>
          <w:szCs w:val="28"/>
          <w:lang w:eastAsia="ru-RU"/>
        </w:rPr>
        <w:t>Першого сенату</w:t>
      </w:r>
    </w:p>
    <w:p w:rsidR="00070FFE" w:rsidRPr="003A548C" w:rsidRDefault="003A548C" w:rsidP="003A548C">
      <w:pPr>
        <w:spacing w:after="0" w:line="240" w:lineRule="auto"/>
        <w:ind w:left="4254"/>
        <w:jc w:val="center"/>
        <w:rPr>
          <w:rFonts w:ascii="Times New Roman" w:hAnsi="Times New Roman" w:cs="Times New Roman"/>
          <w:b/>
          <w:bCs/>
          <w:caps/>
          <w:color w:val="0D0D0D" w:themeColor="text1" w:themeTint="F2"/>
          <w:sz w:val="28"/>
          <w:szCs w:val="28"/>
        </w:rPr>
      </w:pPr>
      <w:r w:rsidRPr="003A548C">
        <w:rPr>
          <w:rFonts w:ascii="Times New Roman" w:eastAsia="Times New Roman" w:hAnsi="Times New Roman" w:cs="Times New Roman"/>
          <w:b/>
          <w:caps/>
          <w:color w:val="0D0D0D" w:themeColor="text1" w:themeTint="F2"/>
          <w:sz w:val="28"/>
          <w:szCs w:val="28"/>
          <w:lang w:eastAsia="ru-RU"/>
        </w:rPr>
        <w:t>Конституційного Суду України</w:t>
      </w:r>
      <w:bookmarkEnd w:id="0"/>
    </w:p>
    <w:sectPr w:rsidR="00070FFE" w:rsidRPr="003A548C" w:rsidSect="00070FFE">
      <w:headerReference w:type="default" r:id="rId7"/>
      <w:footerReference w:type="default" r:id="rId8"/>
      <w:foot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C60" w:rsidRDefault="002F2C60" w:rsidP="00D30EFD">
      <w:pPr>
        <w:spacing w:after="0" w:line="240" w:lineRule="auto"/>
      </w:pPr>
      <w:r>
        <w:separator/>
      </w:r>
    </w:p>
  </w:endnote>
  <w:endnote w:type="continuationSeparator" w:id="0">
    <w:p w:rsidR="002F2C60" w:rsidRDefault="002F2C60" w:rsidP="00D30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FE" w:rsidRPr="00070FFE" w:rsidRDefault="00070FFE">
    <w:pPr>
      <w:pStyle w:val="a9"/>
      <w:rPr>
        <w:rFonts w:ascii="Times New Roman" w:hAnsi="Times New Roman" w:cs="Times New Roman"/>
        <w:sz w:val="10"/>
        <w:szCs w:val="10"/>
      </w:rPr>
    </w:pPr>
    <w:r w:rsidRPr="00070FFE">
      <w:rPr>
        <w:rFonts w:ascii="Times New Roman" w:hAnsi="Times New Roman" w:cs="Times New Roman"/>
        <w:sz w:val="10"/>
        <w:szCs w:val="10"/>
      </w:rPr>
      <w:fldChar w:fldCharType="begin"/>
    </w:r>
    <w:r w:rsidRPr="00070FFE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070FFE">
      <w:rPr>
        <w:rFonts w:ascii="Times New Roman" w:hAnsi="Times New Roman" w:cs="Times New Roman"/>
        <w:sz w:val="10"/>
        <w:szCs w:val="10"/>
      </w:rPr>
      <w:fldChar w:fldCharType="separate"/>
    </w:r>
    <w:r w:rsidR="003A548C">
      <w:rPr>
        <w:rFonts w:ascii="Times New Roman" w:hAnsi="Times New Roman" w:cs="Times New Roman"/>
        <w:noProof/>
        <w:sz w:val="10"/>
        <w:szCs w:val="10"/>
      </w:rPr>
      <w:t>S:\Mashburo\2025\Suddi\I senat\III koleg\32.docx</w:t>
    </w:r>
    <w:r w:rsidRPr="00070FFE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FE" w:rsidRPr="00070FFE" w:rsidRDefault="00070FFE">
    <w:pPr>
      <w:pStyle w:val="a9"/>
      <w:rPr>
        <w:rFonts w:ascii="Times New Roman" w:hAnsi="Times New Roman" w:cs="Times New Roman"/>
        <w:sz w:val="10"/>
        <w:szCs w:val="10"/>
      </w:rPr>
    </w:pPr>
    <w:r w:rsidRPr="00070FFE">
      <w:rPr>
        <w:rFonts w:ascii="Times New Roman" w:hAnsi="Times New Roman" w:cs="Times New Roman"/>
        <w:sz w:val="10"/>
        <w:szCs w:val="10"/>
      </w:rPr>
      <w:fldChar w:fldCharType="begin"/>
    </w:r>
    <w:r w:rsidRPr="00070FFE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070FFE">
      <w:rPr>
        <w:rFonts w:ascii="Times New Roman" w:hAnsi="Times New Roman" w:cs="Times New Roman"/>
        <w:sz w:val="10"/>
        <w:szCs w:val="10"/>
      </w:rPr>
      <w:fldChar w:fldCharType="separate"/>
    </w:r>
    <w:r w:rsidR="003A548C">
      <w:rPr>
        <w:rFonts w:ascii="Times New Roman" w:hAnsi="Times New Roman" w:cs="Times New Roman"/>
        <w:noProof/>
        <w:sz w:val="10"/>
        <w:szCs w:val="10"/>
      </w:rPr>
      <w:t>S:\Mashburo\2025\Suddi\I senat\III koleg\32.docx</w:t>
    </w:r>
    <w:r w:rsidRPr="00070FFE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C60" w:rsidRDefault="002F2C60" w:rsidP="00D30EFD">
      <w:pPr>
        <w:spacing w:after="0" w:line="240" w:lineRule="auto"/>
      </w:pPr>
      <w:r>
        <w:separator/>
      </w:r>
    </w:p>
  </w:footnote>
  <w:footnote w:type="continuationSeparator" w:id="0">
    <w:p w:rsidR="002F2C60" w:rsidRDefault="002F2C60" w:rsidP="00D30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2756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D031D" w:rsidRPr="00070FFE" w:rsidRDefault="007D031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70FF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70FF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70FF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A548C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070FF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2BA"/>
    <w:rsid w:val="000041E7"/>
    <w:rsid w:val="0001369F"/>
    <w:rsid w:val="00024099"/>
    <w:rsid w:val="00033F5E"/>
    <w:rsid w:val="000471A4"/>
    <w:rsid w:val="0006094F"/>
    <w:rsid w:val="0006104C"/>
    <w:rsid w:val="00070FFE"/>
    <w:rsid w:val="0007363F"/>
    <w:rsid w:val="00083375"/>
    <w:rsid w:val="0008744E"/>
    <w:rsid w:val="0009164D"/>
    <w:rsid w:val="00097E6C"/>
    <w:rsid w:val="000C3A45"/>
    <w:rsid w:val="000C55A9"/>
    <w:rsid w:val="000C7570"/>
    <w:rsid w:val="000C7999"/>
    <w:rsid w:val="000E15C2"/>
    <w:rsid w:val="00100C5A"/>
    <w:rsid w:val="00105967"/>
    <w:rsid w:val="001142BC"/>
    <w:rsid w:val="001358E4"/>
    <w:rsid w:val="0014713B"/>
    <w:rsid w:val="00150448"/>
    <w:rsid w:val="00153308"/>
    <w:rsid w:val="00162008"/>
    <w:rsid w:val="001703E8"/>
    <w:rsid w:val="001731E7"/>
    <w:rsid w:val="00174768"/>
    <w:rsid w:val="0018140D"/>
    <w:rsid w:val="00182E30"/>
    <w:rsid w:val="0018527C"/>
    <w:rsid w:val="00185FD2"/>
    <w:rsid w:val="0019649B"/>
    <w:rsid w:val="001A4529"/>
    <w:rsid w:val="001B5362"/>
    <w:rsid w:val="001E12CB"/>
    <w:rsid w:val="0020121D"/>
    <w:rsid w:val="00205234"/>
    <w:rsid w:val="00205310"/>
    <w:rsid w:val="00206BA1"/>
    <w:rsid w:val="00222D4A"/>
    <w:rsid w:val="00223AD9"/>
    <w:rsid w:val="002262E4"/>
    <w:rsid w:val="00234566"/>
    <w:rsid w:val="002528D0"/>
    <w:rsid w:val="00261ED7"/>
    <w:rsid w:val="002623CF"/>
    <w:rsid w:val="00273D0E"/>
    <w:rsid w:val="002A58B3"/>
    <w:rsid w:val="002B059C"/>
    <w:rsid w:val="002C0417"/>
    <w:rsid w:val="002C6BFA"/>
    <w:rsid w:val="002D70DD"/>
    <w:rsid w:val="002E1483"/>
    <w:rsid w:val="002E1687"/>
    <w:rsid w:val="002E1FFD"/>
    <w:rsid w:val="002E5FFE"/>
    <w:rsid w:val="002F2B45"/>
    <w:rsid w:val="002F2C60"/>
    <w:rsid w:val="002F3E2A"/>
    <w:rsid w:val="002F53D1"/>
    <w:rsid w:val="00306CB5"/>
    <w:rsid w:val="00317039"/>
    <w:rsid w:val="00333505"/>
    <w:rsid w:val="00337424"/>
    <w:rsid w:val="003430A7"/>
    <w:rsid w:val="0035230C"/>
    <w:rsid w:val="00361DB5"/>
    <w:rsid w:val="00370031"/>
    <w:rsid w:val="00371327"/>
    <w:rsid w:val="003842E4"/>
    <w:rsid w:val="0039028B"/>
    <w:rsid w:val="00392C9D"/>
    <w:rsid w:val="003A3478"/>
    <w:rsid w:val="003A548C"/>
    <w:rsid w:val="003B46E2"/>
    <w:rsid w:val="003E0EE6"/>
    <w:rsid w:val="003E4CF1"/>
    <w:rsid w:val="003F1271"/>
    <w:rsid w:val="00402AC1"/>
    <w:rsid w:val="00406766"/>
    <w:rsid w:val="00407BB7"/>
    <w:rsid w:val="00417D29"/>
    <w:rsid w:val="00422234"/>
    <w:rsid w:val="004320A9"/>
    <w:rsid w:val="00442B68"/>
    <w:rsid w:val="0046600A"/>
    <w:rsid w:val="00475387"/>
    <w:rsid w:val="00490C53"/>
    <w:rsid w:val="00496352"/>
    <w:rsid w:val="004B0C48"/>
    <w:rsid w:val="004C38C7"/>
    <w:rsid w:val="004C555E"/>
    <w:rsid w:val="004D1098"/>
    <w:rsid w:val="004F286D"/>
    <w:rsid w:val="004F529B"/>
    <w:rsid w:val="004F559D"/>
    <w:rsid w:val="00502B73"/>
    <w:rsid w:val="005142BA"/>
    <w:rsid w:val="005147FC"/>
    <w:rsid w:val="00521C71"/>
    <w:rsid w:val="00522C45"/>
    <w:rsid w:val="0052339D"/>
    <w:rsid w:val="00531AF3"/>
    <w:rsid w:val="00535033"/>
    <w:rsid w:val="005568FF"/>
    <w:rsid w:val="00560960"/>
    <w:rsid w:val="00563860"/>
    <w:rsid w:val="005739AD"/>
    <w:rsid w:val="00574BF7"/>
    <w:rsid w:val="00575EA2"/>
    <w:rsid w:val="00594949"/>
    <w:rsid w:val="005D17B5"/>
    <w:rsid w:val="005D1D5F"/>
    <w:rsid w:val="005D65A8"/>
    <w:rsid w:val="005D7225"/>
    <w:rsid w:val="005E362B"/>
    <w:rsid w:val="00602828"/>
    <w:rsid w:val="00606CB6"/>
    <w:rsid w:val="00615AC1"/>
    <w:rsid w:val="00632309"/>
    <w:rsid w:val="0066783C"/>
    <w:rsid w:val="006765CF"/>
    <w:rsid w:val="00683273"/>
    <w:rsid w:val="006909C7"/>
    <w:rsid w:val="00695A8C"/>
    <w:rsid w:val="006A0BE0"/>
    <w:rsid w:val="006C2F5E"/>
    <w:rsid w:val="006D15A7"/>
    <w:rsid w:val="006E4C6C"/>
    <w:rsid w:val="006E7AA0"/>
    <w:rsid w:val="006E7E00"/>
    <w:rsid w:val="006F24B8"/>
    <w:rsid w:val="00703439"/>
    <w:rsid w:val="00703970"/>
    <w:rsid w:val="00723994"/>
    <w:rsid w:val="007239D5"/>
    <w:rsid w:val="00723EE9"/>
    <w:rsid w:val="00757E2A"/>
    <w:rsid w:val="00762B9B"/>
    <w:rsid w:val="007849EF"/>
    <w:rsid w:val="00792CB9"/>
    <w:rsid w:val="00793CD5"/>
    <w:rsid w:val="00796855"/>
    <w:rsid w:val="007A3CDE"/>
    <w:rsid w:val="007B2886"/>
    <w:rsid w:val="007B6B8B"/>
    <w:rsid w:val="007C266F"/>
    <w:rsid w:val="007D031D"/>
    <w:rsid w:val="007D40F9"/>
    <w:rsid w:val="007D6A32"/>
    <w:rsid w:val="007E0544"/>
    <w:rsid w:val="007E066C"/>
    <w:rsid w:val="007E582F"/>
    <w:rsid w:val="007F4421"/>
    <w:rsid w:val="00820AAA"/>
    <w:rsid w:val="00826A6C"/>
    <w:rsid w:val="0082771E"/>
    <w:rsid w:val="0083076D"/>
    <w:rsid w:val="00832295"/>
    <w:rsid w:val="008420C7"/>
    <w:rsid w:val="008519EF"/>
    <w:rsid w:val="00852ADB"/>
    <w:rsid w:val="008604B1"/>
    <w:rsid w:val="008606A0"/>
    <w:rsid w:val="008617BD"/>
    <w:rsid w:val="00881155"/>
    <w:rsid w:val="0088518B"/>
    <w:rsid w:val="0088673F"/>
    <w:rsid w:val="00887019"/>
    <w:rsid w:val="008940C9"/>
    <w:rsid w:val="00894F77"/>
    <w:rsid w:val="008A0C2B"/>
    <w:rsid w:val="008A11E9"/>
    <w:rsid w:val="008C2108"/>
    <w:rsid w:val="008C2F88"/>
    <w:rsid w:val="008C675B"/>
    <w:rsid w:val="008D3288"/>
    <w:rsid w:val="008D56B5"/>
    <w:rsid w:val="008E1064"/>
    <w:rsid w:val="008E2CCC"/>
    <w:rsid w:val="008F277A"/>
    <w:rsid w:val="008F2B49"/>
    <w:rsid w:val="008F5182"/>
    <w:rsid w:val="008F7E0D"/>
    <w:rsid w:val="0090125B"/>
    <w:rsid w:val="00904EF0"/>
    <w:rsid w:val="00906B3A"/>
    <w:rsid w:val="00906E00"/>
    <w:rsid w:val="0091430B"/>
    <w:rsid w:val="0091520F"/>
    <w:rsid w:val="00940AE8"/>
    <w:rsid w:val="00954C67"/>
    <w:rsid w:val="00961554"/>
    <w:rsid w:val="00963A61"/>
    <w:rsid w:val="00963ED2"/>
    <w:rsid w:val="00974D60"/>
    <w:rsid w:val="009A2BA0"/>
    <w:rsid w:val="009B276E"/>
    <w:rsid w:val="009F509D"/>
    <w:rsid w:val="00A03246"/>
    <w:rsid w:val="00A05E74"/>
    <w:rsid w:val="00A06BCF"/>
    <w:rsid w:val="00A109C8"/>
    <w:rsid w:val="00A14E29"/>
    <w:rsid w:val="00A16520"/>
    <w:rsid w:val="00A32944"/>
    <w:rsid w:val="00A3336E"/>
    <w:rsid w:val="00A36840"/>
    <w:rsid w:val="00A44B79"/>
    <w:rsid w:val="00A46669"/>
    <w:rsid w:val="00A714D4"/>
    <w:rsid w:val="00A71F0F"/>
    <w:rsid w:val="00A80C7A"/>
    <w:rsid w:val="00A90BCE"/>
    <w:rsid w:val="00A935A4"/>
    <w:rsid w:val="00AC38EB"/>
    <w:rsid w:val="00AD0187"/>
    <w:rsid w:val="00AD0F53"/>
    <w:rsid w:val="00AD6739"/>
    <w:rsid w:val="00AF53C1"/>
    <w:rsid w:val="00B01E57"/>
    <w:rsid w:val="00B046D5"/>
    <w:rsid w:val="00B07DDA"/>
    <w:rsid w:val="00B11307"/>
    <w:rsid w:val="00B11DF7"/>
    <w:rsid w:val="00B12564"/>
    <w:rsid w:val="00B14B9A"/>
    <w:rsid w:val="00B15C9F"/>
    <w:rsid w:val="00B21048"/>
    <w:rsid w:val="00B23FD0"/>
    <w:rsid w:val="00B34F4F"/>
    <w:rsid w:val="00B53CB5"/>
    <w:rsid w:val="00B664D3"/>
    <w:rsid w:val="00B679CF"/>
    <w:rsid w:val="00B71CEC"/>
    <w:rsid w:val="00B85A12"/>
    <w:rsid w:val="00B86704"/>
    <w:rsid w:val="00BA50E0"/>
    <w:rsid w:val="00BB2AC6"/>
    <w:rsid w:val="00BB6A38"/>
    <w:rsid w:val="00BB79CF"/>
    <w:rsid w:val="00BC333A"/>
    <w:rsid w:val="00BC3665"/>
    <w:rsid w:val="00BD755D"/>
    <w:rsid w:val="00BF2E5C"/>
    <w:rsid w:val="00BF667C"/>
    <w:rsid w:val="00BF6ADD"/>
    <w:rsid w:val="00C22FBE"/>
    <w:rsid w:val="00C43806"/>
    <w:rsid w:val="00C446F4"/>
    <w:rsid w:val="00C45EA5"/>
    <w:rsid w:val="00C50314"/>
    <w:rsid w:val="00C50B1A"/>
    <w:rsid w:val="00C52E6F"/>
    <w:rsid w:val="00C62675"/>
    <w:rsid w:val="00C84A80"/>
    <w:rsid w:val="00C97034"/>
    <w:rsid w:val="00CA266E"/>
    <w:rsid w:val="00CA267A"/>
    <w:rsid w:val="00CB733D"/>
    <w:rsid w:val="00CB7878"/>
    <w:rsid w:val="00CC10FD"/>
    <w:rsid w:val="00CC3281"/>
    <w:rsid w:val="00CC4130"/>
    <w:rsid w:val="00CD3E32"/>
    <w:rsid w:val="00CD580F"/>
    <w:rsid w:val="00CE7FD4"/>
    <w:rsid w:val="00CF3FF0"/>
    <w:rsid w:val="00D14517"/>
    <w:rsid w:val="00D155D3"/>
    <w:rsid w:val="00D206EF"/>
    <w:rsid w:val="00D22634"/>
    <w:rsid w:val="00D30EFD"/>
    <w:rsid w:val="00D36D92"/>
    <w:rsid w:val="00D37F98"/>
    <w:rsid w:val="00D464DE"/>
    <w:rsid w:val="00D46880"/>
    <w:rsid w:val="00D54D9A"/>
    <w:rsid w:val="00D5559E"/>
    <w:rsid w:val="00D64FA9"/>
    <w:rsid w:val="00D66353"/>
    <w:rsid w:val="00D67826"/>
    <w:rsid w:val="00D70AD9"/>
    <w:rsid w:val="00D83D1F"/>
    <w:rsid w:val="00D84220"/>
    <w:rsid w:val="00D85B8B"/>
    <w:rsid w:val="00D955FB"/>
    <w:rsid w:val="00D95A09"/>
    <w:rsid w:val="00D95C7A"/>
    <w:rsid w:val="00D9704D"/>
    <w:rsid w:val="00DB18AE"/>
    <w:rsid w:val="00DC1C8A"/>
    <w:rsid w:val="00DC36C9"/>
    <w:rsid w:val="00DC6FFA"/>
    <w:rsid w:val="00DD4FFB"/>
    <w:rsid w:val="00DD5C23"/>
    <w:rsid w:val="00DE647F"/>
    <w:rsid w:val="00DE700E"/>
    <w:rsid w:val="00E00B25"/>
    <w:rsid w:val="00E026D5"/>
    <w:rsid w:val="00E20934"/>
    <w:rsid w:val="00E209FF"/>
    <w:rsid w:val="00E2337D"/>
    <w:rsid w:val="00E36547"/>
    <w:rsid w:val="00E4416B"/>
    <w:rsid w:val="00E47235"/>
    <w:rsid w:val="00E66A6D"/>
    <w:rsid w:val="00E70090"/>
    <w:rsid w:val="00E7332E"/>
    <w:rsid w:val="00E741FF"/>
    <w:rsid w:val="00E74661"/>
    <w:rsid w:val="00E84625"/>
    <w:rsid w:val="00E916B2"/>
    <w:rsid w:val="00EA04B2"/>
    <w:rsid w:val="00EA0C18"/>
    <w:rsid w:val="00EA6059"/>
    <w:rsid w:val="00EC4C43"/>
    <w:rsid w:val="00ED4422"/>
    <w:rsid w:val="00EE2FD6"/>
    <w:rsid w:val="00F05371"/>
    <w:rsid w:val="00F06B4C"/>
    <w:rsid w:val="00F1122C"/>
    <w:rsid w:val="00F114F9"/>
    <w:rsid w:val="00F13B27"/>
    <w:rsid w:val="00F2038C"/>
    <w:rsid w:val="00F41555"/>
    <w:rsid w:val="00F4374A"/>
    <w:rsid w:val="00F4432D"/>
    <w:rsid w:val="00F52448"/>
    <w:rsid w:val="00F53F9E"/>
    <w:rsid w:val="00F54F84"/>
    <w:rsid w:val="00F605F6"/>
    <w:rsid w:val="00F617C8"/>
    <w:rsid w:val="00F63833"/>
    <w:rsid w:val="00F64488"/>
    <w:rsid w:val="00F7281E"/>
    <w:rsid w:val="00F83525"/>
    <w:rsid w:val="00F83B12"/>
    <w:rsid w:val="00FA3AE8"/>
    <w:rsid w:val="00FA6A15"/>
    <w:rsid w:val="00FB085F"/>
    <w:rsid w:val="00FB2419"/>
    <w:rsid w:val="00FB3BAD"/>
    <w:rsid w:val="00FB4359"/>
    <w:rsid w:val="00FC05D4"/>
    <w:rsid w:val="00FC2618"/>
    <w:rsid w:val="00FC609A"/>
    <w:rsid w:val="00FC746A"/>
    <w:rsid w:val="00FD45E1"/>
    <w:rsid w:val="00FD609F"/>
    <w:rsid w:val="00FE50C5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C4DAA3"/>
  <w15:chartTrackingRefBased/>
  <w15:docId w15:val="{4B0A815C-DD8A-43B4-BB19-AE2486CD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886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402A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05F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71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8C2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C2F88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73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07363F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rvps2">
    <w:name w:val="rvps2"/>
    <w:basedOn w:val="a"/>
    <w:rsid w:val="00D22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header"/>
    <w:basedOn w:val="a"/>
    <w:link w:val="a8"/>
    <w:uiPriority w:val="99"/>
    <w:unhideWhenUsed/>
    <w:rsid w:val="00D30E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30EFD"/>
  </w:style>
  <w:style w:type="paragraph" w:styleId="a9">
    <w:name w:val="footer"/>
    <w:basedOn w:val="a"/>
    <w:link w:val="aa"/>
    <w:uiPriority w:val="99"/>
    <w:unhideWhenUsed/>
    <w:rsid w:val="00D30E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30EFD"/>
  </w:style>
  <w:style w:type="paragraph" w:styleId="ab">
    <w:name w:val="List Paragraph"/>
    <w:basedOn w:val="a"/>
    <w:uiPriority w:val="34"/>
    <w:qFormat/>
    <w:rsid w:val="00703970"/>
    <w:pPr>
      <w:ind w:left="720"/>
      <w:contextualSpacing/>
    </w:pPr>
  </w:style>
  <w:style w:type="character" w:customStyle="1" w:styleId="rvts20">
    <w:name w:val="rvts20"/>
    <w:basedOn w:val="a0"/>
    <w:rsid w:val="007E0544"/>
  </w:style>
  <w:style w:type="character" w:customStyle="1" w:styleId="rvts11">
    <w:name w:val="rvts11"/>
    <w:basedOn w:val="a0"/>
    <w:rsid w:val="007E0544"/>
  </w:style>
  <w:style w:type="character" w:customStyle="1" w:styleId="rvts21">
    <w:name w:val="rvts21"/>
    <w:basedOn w:val="a0"/>
    <w:rsid w:val="007E0544"/>
  </w:style>
  <w:style w:type="paragraph" w:customStyle="1" w:styleId="rvps5">
    <w:name w:val="rvps5"/>
    <w:basedOn w:val="a"/>
    <w:rsid w:val="007E0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8">
    <w:name w:val="rvts18"/>
    <w:basedOn w:val="a0"/>
    <w:rsid w:val="007E0544"/>
  </w:style>
  <w:style w:type="paragraph" w:customStyle="1" w:styleId="rvps6">
    <w:name w:val="rvps6"/>
    <w:basedOn w:val="a"/>
    <w:rsid w:val="007E0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02AC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c">
    <w:name w:val="Placeholder Text"/>
    <w:basedOn w:val="a0"/>
    <w:uiPriority w:val="99"/>
    <w:semiHidden/>
    <w:rsid w:val="009F509D"/>
    <w:rPr>
      <w:color w:val="808080"/>
    </w:rPr>
  </w:style>
  <w:style w:type="paragraph" w:customStyle="1" w:styleId="ps1">
    <w:name w:val="ps1"/>
    <w:basedOn w:val="a"/>
    <w:rsid w:val="008D3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d">
    <w:name w:val="Strong"/>
    <w:basedOn w:val="a0"/>
    <w:uiPriority w:val="22"/>
    <w:qFormat/>
    <w:rsid w:val="00273D0E"/>
    <w:rPr>
      <w:b/>
      <w:bCs/>
    </w:rPr>
  </w:style>
  <w:style w:type="table" w:styleId="ae">
    <w:name w:val="Table Grid"/>
    <w:basedOn w:val="a1"/>
    <w:uiPriority w:val="39"/>
    <w:rsid w:val="0007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8F9AC-6EB3-4E73-B154-F8BFD84B0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4636</Words>
  <Characters>2643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 Б. Бондар</dc:creator>
  <cp:keywords/>
  <dc:description/>
  <cp:lastModifiedBy>Валентина М. Поліщук</cp:lastModifiedBy>
  <cp:revision>8</cp:revision>
  <cp:lastPrinted>2025-09-30T06:28:00Z</cp:lastPrinted>
  <dcterms:created xsi:type="dcterms:W3CDTF">2025-09-24T12:19:00Z</dcterms:created>
  <dcterms:modified xsi:type="dcterms:W3CDTF">2025-09-30T06:28:00Z</dcterms:modified>
</cp:coreProperties>
</file>