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0F556" w14:textId="6C47B8CE" w:rsidR="00CF599C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01386702"/>
    </w:p>
    <w:p w14:paraId="1689B05F" w14:textId="77777777" w:rsidR="00CF599C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6277DB3" w14:textId="77777777" w:rsidR="00CF599C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64B30AD" w14:textId="77777777" w:rsidR="00CF599C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6D6239E" w14:textId="77777777" w:rsidR="00CF599C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A5FADA9" w14:textId="77777777" w:rsidR="00CF599C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6E8AD13" w14:textId="77777777" w:rsidR="00CF599C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D692F6F" w14:textId="77777777" w:rsidR="00CF599C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E917D5E" w14:textId="4D47EED7" w:rsidR="003D01B6" w:rsidRPr="00CF599C" w:rsidRDefault="003D01B6" w:rsidP="00CF599C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6B508C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Публічного акціонерного товариства „Українська інноваційна компанія“ щодо відповідності Конституції України (конституційності) положень частини четвертої ста</w:t>
      </w:r>
      <w:r w:rsidR="0078207B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т</w:t>
      </w:r>
      <w:r w:rsid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ті 75,</w:t>
      </w:r>
      <w:r w:rsidR="00D50D17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 xml:space="preserve"> частини </w:t>
      </w:r>
      <w:r w:rsidR="006B508C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першої статті 300 Господарського процесуального кодексу України, першого речення</w:t>
      </w:r>
      <w:r w:rsidR="00B73AF5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 xml:space="preserve"> </w:t>
      </w:r>
      <w:r w:rsidR="006B508C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абзацу першого, другого речення абзацу другого</w:t>
      </w:r>
      <w:r w:rsidR="00B73AF5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 xml:space="preserve"> </w:t>
      </w:r>
      <w:r w:rsidR="006B508C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частини третьої, частин четвертої, п’ятої статті 34,</w:t>
      </w:r>
      <w:r w:rsidR="00B73AF5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 xml:space="preserve"> </w:t>
      </w:r>
      <w:r w:rsid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другого речення</w:t>
      </w:r>
      <w:r w:rsidR="00D50D17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 xml:space="preserve"> </w:t>
      </w:r>
      <w:r w:rsidR="006B508C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частини першої статті 36, частин четвертої, п’ятої статті 44, пунктів 1, 2 частини першої статті 48 Закону України „Про систему гара</w:t>
      </w:r>
      <w:r w:rsidR="00760C14" w:rsidRPr="00CF599C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нтування вкладів фізичних осіб“</w:t>
      </w:r>
      <w:r w:rsidR="00D50D17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br/>
      </w:r>
    </w:p>
    <w:bookmarkEnd w:id="0"/>
    <w:p w14:paraId="1D50723C" w14:textId="5FFF681C" w:rsidR="003D01B6" w:rsidRPr="00CF599C" w:rsidRDefault="003D01B6" w:rsidP="00CF599C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green"/>
          <w:lang w:val="uk-UA"/>
        </w:rPr>
      </w:pPr>
      <w:r w:rsidRP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Справа </w:t>
      </w:r>
      <w:r w:rsidR="002A5CB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6B508C" w:rsidRP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3-79/2022(190/22)</w:t>
      </w:r>
    </w:p>
    <w:p w14:paraId="60A27DAE" w14:textId="77777777" w:rsidR="002A5CB9" w:rsidRDefault="00CF599C" w:rsidP="00CF59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 листопада</w:t>
      </w:r>
      <w:r w:rsidR="003D01B6" w:rsidRP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2022 року</w:t>
      </w:r>
    </w:p>
    <w:p w14:paraId="2324607D" w14:textId="5959AF2F" w:rsidR="003D01B6" w:rsidRPr="00CF599C" w:rsidRDefault="002A5CB9" w:rsidP="00CF59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bookmarkStart w:id="1" w:name="_GoBack"/>
      <w:r w:rsid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161</w:t>
      </w:r>
      <w:r w:rsidR="003D01B6" w:rsidRP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-1(І)</w:t>
      </w:r>
      <w:bookmarkEnd w:id="1"/>
      <w:r w:rsidR="003D01B6" w:rsidRPr="00CF599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/2022</w:t>
      </w:r>
    </w:p>
    <w:p w14:paraId="45965DCC" w14:textId="77777777" w:rsidR="003D01B6" w:rsidRPr="00CF599C" w:rsidRDefault="003D01B6" w:rsidP="00CF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93267" w14:textId="77777777" w:rsidR="003D01B6" w:rsidRPr="00CF599C" w:rsidRDefault="003D01B6" w:rsidP="00CF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14:paraId="742F6458" w14:textId="77777777" w:rsidR="003D01B6" w:rsidRPr="00CF599C" w:rsidRDefault="003D01B6" w:rsidP="00CF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297662" w14:textId="22D9A784" w:rsidR="003D01B6" w:rsidRPr="00CF599C" w:rsidRDefault="003D01B6" w:rsidP="00CF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Колісник Віктор Павлович </w:t>
      </w:r>
      <w:r w:rsidR="00F400ED"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051EF"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засідання</w:t>
      </w:r>
      <w:r w:rsidR="00F400ED"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26AF7587" w14:textId="4955530D" w:rsidR="003D01B6" w:rsidRPr="00CF599C" w:rsidRDefault="003D01B6" w:rsidP="00CF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Кичун Віктор Іванович,</w:t>
      </w:r>
    </w:p>
    <w:p w14:paraId="343C9369" w14:textId="4F22F50A" w:rsidR="003D01B6" w:rsidRPr="00CF599C" w:rsidRDefault="003D01B6" w:rsidP="00CF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Філюк Петр</w:t>
      </w:r>
      <w:r w:rsidR="00F400ED"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Тодосьович </w:t>
      </w:r>
      <w:r w:rsidR="00F400ED"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</w:t>
      </w:r>
      <w:r w:rsidR="00F400ED"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CF599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12EFF50B" w14:textId="77777777" w:rsidR="003D01B6" w:rsidRPr="00CF599C" w:rsidRDefault="003D01B6" w:rsidP="00CF5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86EEE" w14:textId="3210B89E" w:rsidR="003D01B6" w:rsidRPr="00CF599C" w:rsidRDefault="003D01B6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Публічного акціонерного товариства „Українська інноваційна компанія“ щодо відповідності Конституції України (конституційності) положень частини четвертої стат</w:t>
      </w:r>
      <w:r w:rsidR="0078207B" w:rsidRPr="00CF599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t>і 75,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300 Господарського процесуального кодексу України, першого речення абзацу першого,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 xml:space="preserve"> другого речення абзацу другого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частини третьої, частин четвертої, п’ятої статті 34, др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>угого речення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br/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36, частин четвертої,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 xml:space="preserve"> п’ятої статті 44, пунктів 1, 2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br/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статті 48 Закону України „Про систему гарантування вкладів фізичних осіб“ від 23 лютого 2012 року </w:t>
      </w:r>
      <w:r w:rsidR="002A5CB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4452–VI</w:t>
      </w:r>
      <w:r w:rsidR="0004364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(Відомості Верх</w:t>
      </w:r>
      <w:r w:rsidR="00343E00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овної Ради України, 2012 р., </w:t>
      </w:r>
      <w:r w:rsidR="002A5CB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43E00" w:rsidRPr="00CF599C">
        <w:rPr>
          <w:rFonts w:ascii="Times New Roman" w:hAnsi="Times New Roman" w:cs="Times New Roman"/>
          <w:sz w:val="28"/>
          <w:szCs w:val="28"/>
          <w:lang w:val="uk-UA"/>
        </w:rPr>
        <w:t>50, ст. 564</w:t>
      </w:r>
      <w:r w:rsidR="00043644" w:rsidRPr="00CF59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A032C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AF1168" w14:textId="77777777" w:rsidR="00CF599C" w:rsidRDefault="00CF599C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CD708" w14:textId="2F3BF191" w:rsidR="003D01B6" w:rsidRPr="00CF599C" w:rsidRDefault="003D01B6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14:paraId="23F20F52" w14:textId="77777777" w:rsidR="003D01B6" w:rsidRPr="00CF599C" w:rsidRDefault="003D01B6" w:rsidP="00CF59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8428639" w14:textId="77777777" w:rsidR="003D01B6" w:rsidRPr="00CF599C" w:rsidRDefault="003D01B6" w:rsidP="00CF5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B23EC7B" w14:textId="77777777" w:rsidR="003D01B6" w:rsidRPr="00CF599C" w:rsidRDefault="003D01B6" w:rsidP="00CF599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14:paraId="5D751DC2" w14:textId="536BACAD" w:rsidR="005D166B" w:rsidRPr="00CF599C" w:rsidRDefault="003D01B6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6630D" w:rsidRPr="00CF599C">
        <w:rPr>
          <w:rFonts w:ascii="Times New Roman" w:hAnsi="Times New Roman" w:cs="Times New Roman"/>
          <w:sz w:val="28"/>
          <w:szCs w:val="28"/>
          <w:lang w:val="uk-UA"/>
        </w:rPr>
        <w:t>Публічне акціонерне товариство</w:t>
      </w:r>
      <w:r w:rsidR="005D166B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„Українсь</w:t>
      </w:r>
      <w:r w:rsidR="007B6371" w:rsidRPr="00CF599C">
        <w:rPr>
          <w:rFonts w:ascii="Times New Roman" w:hAnsi="Times New Roman" w:cs="Times New Roman"/>
          <w:sz w:val="28"/>
          <w:szCs w:val="28"/>
          <w:lang w:val="uk-UA"/>
        </w:rPr>
        <w:t>ка інноваційна компанія“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br/>
      </w:r>
      <w:r w:rsidR="007B6371" w:rsidRPr="00CF599C">
        <w:rPr>
          <w:rFonts w:ascii="Times New Roman" w:hAnsi="Times New Roman" w:cs="Times New Roman"/>
          <w:sz w:val="28"/>
          <w:szCs w:val="28"/>
          <w:lang w:val="uk-UA"/>
        </w:rPr>
        <w:t>(далі –</w:t>
      </w:r>
      <w:r w:rsidR="005D166B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Товариство) 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>зверну</w:t>
      </w:r>
      <w:r w:rsidR="005D166B" w:rsidRPr="00CF599C">
        <w:rPr>
          <w:rFonts w:ascii="Times New Roman" w:hAnsi="Times New Roman" w:cs="Times New Roman"/>
          <w:sz w:val="28"/>
          <w:szCs w:val="28"/>
          <w:lang w:val="uk-UA"/>
        </w:rPr>
        <w:t>лося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до Конституційного Суду України з клопотанням перевірити на відповідність </w:t>
      </w:r>
      <w:r w:rsidR="00D72F09" w:rsidRPr="00CF599C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D72F09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першій</w:t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>, другій</w:t>
      </w:r>
      <w:r w:rsidR="00D72F09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статті 8, </w:t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>частині четвертій статті 13, частині першій статті 19, частин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>ам першій, четвертій статті 41,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br/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частині першій статті 42, </w:t>
      </w:r>
      <w:r w:rsidR="00D72F09" w:rsidRPr="00CF599C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5235DB" w:rsidRPr="00CF599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D72F09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першій</w:t>
      </w:r>
      <w:r w:rsidR="005235DB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, другій </w:t>
      </w:r>
      <w:r w:rsidR="00D72F09" w:rsidRPr="00CF599C">
        <w:rPr>
          <w:rFonts w:ascii="Times New Roman" w:hAnsi="Times New Roman" w:cs="Times New Roman"/>
          <w:sz w:val="28"/>
          <w:szCs w:val="28"/>
          <w:lang w:val="uk-UA"/>
        </w:rPr>
        <w:t>статті 55</w:t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>, частині першій статті 64, пункту 9 частини другої статті 129, частині першій статті 129</w:t>
      </w:r>
      <w:r w:rsidR="003B3B64" w:rsidRPr="00CF59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5235DB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(конституційність) 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частини четвертої статті 75, частини першої статті 300 Господарського процесуального кодексу України (далі – Кодекс), першого речення 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t>абзацу першого, другого речення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>абзацу другого частини третьої, част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>ин четвертої, п’ятої статті 34,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br/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другого речення частини першої статті 36, частин четвертої, п’ятої статті 44, пунктів 1, 2 частини першої статті 48 Закону України „Про систему гарантування вкладів фізичних осіб“ від 23 лютого 2012 року </w:t>
      </w:r>
      <w:r w:rsidR="002A5CB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4452–VI 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br/>
      </w:r>
      <w:r w:rsidR="003B3B64" w:rsidRPr="00CF599C">
        <w:rPr>
          <w:rFonts w:ascii="Times New Roman" w:hAnsi="Times New Roman" w:cs="Times New Roman"/>
          <w:sz w:val="28"/>
          <w:szCs w:val="28"/>
          <w:lang w:val="uk-UA"/>
        </w:rPr>
        <w:t>(далі – Закон)</w:t>
      </w:r>
      <w:r w:rsidR="00187B4F" w:rsidRPr="00CF59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83C1F4" w14:textId="77777777" w:rsidR="003D01B6" w:rsidRPr="00CF599C" w:rsidRDefault="003D01B6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40D4CA" w14:textId="77777777" w:rsidR="00D051EF" w:rsidRPr="00CF599C" w:rsidRDefault="003D01B6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5CB04F2E" w14:textId="77777777" w:rsidR="002A5CB9" w:rsidRDefault="00CC3B2D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містити, зокрема, 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>ну (абзац перший частини першої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>статті 77).</w:t>
      </w:r>
    </w:p>
    <w:p w14:paraId="111EFD33" w14:textId="54BC73B8" w:rsidR="00A808F2" w:rsidRPr="00CF599C" w:rsidRDefault="00A808F2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 постанови Верховного Суду у складі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колегії 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суддів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Касаційного господарського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суду від 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 червня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яка є остаточним судовим рішенням у справі автора клопотання, вбачається, що </w:t>
      </w:r>
      <w:r w:rsidR="00101C35" w:rsidRPr="00CF599C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br/>
      </w:r>
      <w:r w:rsidR="0078207B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частини четвертої статті 75 Кодексу та </w:t>
      </w:r>
      <w:r w:rsidR="00101C35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оспорювані </w:t>
      </w:r>
      <w:r w:rsidR="007D2AD2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78207B" w:rsidRPr="00CF599C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ній не застосовувалися, тому </w:t>
      </w:r>
      <w:r w:rsidR="005D166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Товариство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суб’єктом права на конс</w:t>
      </w:r>
      <w:r w:rsidR="004B44E3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титуційну скаргу в цій частині, 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CC3B2D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підставою для відмови у відкритті конституційного провадження у справі згідно з пунктом 1 статті 62 </w:t>
      </w:r>
      <w:r w:rsidR="00D50D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акону</w:t>
      </w:r>
      <w:r w:rsidR="00D50D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„Про Конституційний Суд України“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звернення до Конституційного Суду України неналежним суб’єктом.</w:t>
      </w:r>
    </w:p>
    <w:p w14:paraId="2D94C86B" w14:textId="7B7F98C6" w:rsidR="003D01B6" w:rsidRPr="00CF599C" w:rsidRDefault="00A808F2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</w:t>
      </w:r>
      <w:r w:rsidRPr="00CF599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1434B8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3D01B6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аналізу конституційної скарги </w:t>
      </w:r>
      <w:r w:rsidR="009F6E8F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163619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бачається, що, стверджуючи про неконституційність </w:t>
      </w:r>
      <w:r w:rsidR="00AB7432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положень </w:t>
      </w:r>
      <w:r w:rsidR="00163619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</w:t>
      </w:r>
      <w:r w:rsidR="00760C14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163619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першої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F6E8F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300</w:t>
      </w:r>
      <w:r w:rsidR="00163619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Кодексу,</w:t>
      </w:r>
      <w:r w:rsidR="009F6E8F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166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Товариство</w:t>
      </w:r>
      <w:r w:rsidR="00545D71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висловило</w:t>
      </w:r>
      <w:r w:rsidR="00AB7432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незгоду </w:t>
      </w:r>
      <w:r w:rsidR="00545D71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AB7432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4B44E3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45D71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застосуванням </w:t>
      </w:r>
      <w:r w:rsidR="009F6E8F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остаточному судовому рішенні</w:t>
      </w:r>
      <w:r w:rsidR="00A606A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051EF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не може вважатис</w:t>
      </w:r>
      <w:r w:rsidR="001434B8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D051EF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обґрунтуванням </w:t>
      </w:r>
      <w:r w:rsidR="0078207B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тверджень щодо </w:t>
      </w:r>
      <w:r w:rsidR="00D50D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101C35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1B6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неконституційності.</w:t>
      </w:r>
    </w:p>
    <w:p w14:paraId="737651A7" w14:textId="705F36D7" w:rsidR="0037193F" w:rsidRPr="00CF599C" w:rsidRDefault="0037193F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автор клопотання не дотримав вимог пункту 6</w:t>
      </w:r>
      <w:r w:rsidR="00A808F2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</w:t>
      </w:r>
      <w:r w:rsid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E36B85"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цій частині </w:t>
      </w:r>
      <w:r w:rsidRPr="00CF59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пунктом 4 статті 62 цього закону – неприйнятність конституційної скарги.</w:t>
      </w:r>
    </w:p>
    <w:p w14:paraId="7CC56267" w14:textId="77777777" w:rsidR="00CF599C" w:rsidRDefault="00CF599C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D3FB3" w14:textId="0DD9EF7E" w:rsidR="003D01B6" w:rsidRPr="00CF599C" w:rsidRDefault="003D01B6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Ураховуючи викладене та керуючись статтями 147, 151</w:t>
      </w:r>
      <w:r w:rsidRPr="00CF59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</w:t>
      </w:r>
      <w:r w:rsidR="0004364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50,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75570904" w14:textId="77777777" w:rsidR="004B44E3" w:rsidRPr="00CF599C" w:rsidRDefault="004B44E3" w:rsidP="00CF5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826161" w14:textId="77777777" w:rsidR="003D01B6" w:rsidRPr="00CF599C" w:rsidRDefault="003D01B6" w:rsidP="00CF5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45DE7884" w14:textId="77777777" w:rsidR="003D01B6" w:rsidRPr="00CF599C" w:rsidRDefault="003D01B6" w:rsidP="00CF5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2353A" w14:textId="0A8632DB" w:rsidR="003D01B6" w:rsidRPr="00CF599C" w:rsidRDefault="003D01B6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Публічного акціонерного товариства „Українська інноваційна компанія“ щодо відповідності Конституції України (конституційності) положень част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>ини четвертої ста</w:t>
      </w:r>
      <w:r w:rsidR="00101C35" w:rsidRPr="00CF599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ті 75 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Господарського процесуального кодексу України, першого речення абзацу першого, другого речення абзацу другого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частини третьої,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частин четвертої, п’ятої статті 34, другого речення частини першої статті 36, частин четвертої, п’ятої статті 44, пункті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>в 1, 2 частини першої статті 48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Закону України „Про систему гара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>нтування вкладів фізичних осіб“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04364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д 23 лютого 2012 року </w:t>
      </w:r>
      <w:r w:rsidR="002A5CB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43644" w:rsidRPr="00CF599C">
        <w:rPr>
          <w:rFonts w:ascii="Times New Roman" w:hAnsi="Times New Roman" w:cs="Times New Roman"/>
          <w:sz w:val="28"/>
          <w:szCs w:val="28"/>
          <w:lang w:val="uk-UA"/>
        </w:rPr>
        <w:t>4452–VI</w:t>
      </w:r>
      <w:r w:rsidR="008251F6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6AE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зі змінами 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>на підставі пункт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>статті 62 Закону України „Про Конституційний Суд України“ –</w:t>
      </w:r>
      <w:r w:rsidR="00E05A9B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08C" w:rsidRPr="00CF599C">
        <w:rPr>
          <w:rFonts w:ascii="Times New Roman" w:hAnsi="Times New Roman" w:cs="Times New Roman"/>
          <w:sz w:val="28"/>
          <w:szCs w:val="28"/>
          <w:lang w:val="uk-UA"/>
        </w:rPr>
        <w:t>звернення до Конституційного Суду України неналежним суб’єктом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t>; положень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>статті 300 Господарського процесуального кодексу України – на підставі</w:t>
      </w:r>
      <w:r w:rsidR="00CF5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 xml:space="preserve">пункту 4 статті 62 Закону 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t>України „Про Конституційний Суд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>України“ –</w:t>
      </w:r>
      <w:r w:rsidR="00D50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C14" w:rsidRPr="00CF599C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</w:t>
      </w:r>
      <w:r w:rsidRPr="00CF59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91C196" w14:textId="20D9BAAB" w:rsidR="006B508C" w:rsidRPr="00CF599C" w:rsidRDefault="006B508C" w:rsidP="00CF599C">
      <w:pPr>
        <w:tabs>
          <w:tab w:val="left" w:pos="57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83117" w14:textId="0671AF11" w:rsidR="003D01B6" w:rsidRDefault="001434B8" w:rsidP="00CF5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01B6" w:rsidRPr="00CF599C">
        <w:rPr>
          <w:rFonts w:ascii="Times New Roman" w:hAnsi="Times New Roman" w:cs="Times New Roman"/>
          <w:sz w:val="28"/>
          <w:szCs w:val="28"/>
          <w:lang w:val="uk-UA"/>
        </w:rPr>
        <w:t>. Ухвала є остаточною.</w:t>
      </w:r>
    </w:p>
    <w:p w14:paraId="143FEEF5" w14:textId="7F1FB702" w:rsidR="00CF599C" w:rsidRDefault="00CF599C" w:rsidP="00CF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E22C8" w14:textId="77777777" w:rsidR="00AD5E9D" w:rsidRDefault="00AD5E9D" w:rsidP="00AD5E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0C5AFC" w14:textId="77777777" w:rsidR="00AD5E9D" w:rsidRDefault="00AD5E9D" w:rsidP="00AD5E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505D4BE" w14:textId="77777777" w:rsidR="00AD5E9D" w:rsidRPr="00AD5E9D" w:rsidRDefault="00AD5E9D" w:rsidP="00AD5E9D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AD5E9D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Перша колегія суддів</w:t>
      </w:r>
    </w:p>
    <w:p w14:paraId="0EAB668A" w14:textId="77777777" w:rsidR="00AD5E9D" w:rsidRPr="00AD5E9D" w:rsidRDefault="00AD5E9D" w:rsidP="00AD5E9D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AD5E9D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Першого сенату</w:t>
      </w:r>
    </w:p>
    <w:p w14:paraId="7EBCC6CD" w14:textId="77FBB714" w:rsidR="00CF599C" w:rsidRPr="00AD5E9D" w:rsidRDefault="00AD5E9D" w:rsidP="00AD5E9D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D5E9D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Конституційного Суду України</w:t>
      </w:r>
    </w:p>
    <w:sectPr w:rsidR="00CF599C" w:rsidRPr="00AD5E9D" w:rsidSect="00CF599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CBA2" w14:textId="77777777" w:rsidR="008C7EFA" w:rsidRDefault="008C7EFA">
      <w:pPr>
        <w:spacing w:after="0" w:line="240" w:lineRule="auto"/>
      </w:pPr>
      <w:r>
        <w:separator/>
      </w:r>
    </w:p>
  </w:endnote>
  <w:endnote w:type="continuationSeparator" w:id="0">
    <w:p w14:paraId="115B36C4" w14:textId="77777777" w:rsidR="008C7EFA" w:rsidRDefault="008C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9433" w14:textId="5A02DC38" w:rsidR="00CF599C" w:rsidRPr="00CF599C" w:rsidRDefault="00CF599C">
    <w:pPr>
      <w:pStyle w:val="a6"/>
      <w:rPr>
        <w:rFonts w:ascii="Times New Roman" w:hAnsi="Times New Roman" w:cs="Times New Roman"/>
        <w:sz w:val="10"/>
        <w:szCs w:val="10"/>
      </w:rPr>
    </w:pPr>
    <w:r w:rsidRPr="00CF599C">
      <w:rPr>
        <w:rFonts w:ascii="Times New Roman" w:hAnsi="Times New Roman" w:cs="Times New Roman"/>
        <w:sz w:val="10"/>
        <w:szCs w:val="10"/>
      </w:rPr>
      <w:fldChar w:fldCharType="begin"/>
    </w:r>
    <w:r w:rsidRPr="00CF599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F599C">
      <w:rPr>
        <w:rFonts w:ascii="Times New Roman" w:hAnsi="Times New Roman" w:cs="Times New Roman"/>
        <w:sz w:val="10"/>
        <w:szCs w:val="10"/>
      </w:rPr>
      <w:fldChar w:fldCharType="separate"/>
    </w:r>
    <w:r w:rsidR="00AD5E9D">
      <w:rPr>
        <w:rFonts w:ascii="Times New Roman" w:hAnsi="Times New Roman" w:cs="Times New Roman"/>
        <w:noProof/>
        <w:sz w:val="10"/>
        <w:szCs w:val="10"/>
      </w:rPr>
      <w:t>G:\2022\Suddi\I senat\I koleg\28.docx</w:t>
    </w:r>
    <w:r w:rsidRPr="00CF599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7A23" w14:textId="07A9C7BB" w:rsidR="00CF599C" w:rsidRPr="00CF599C" w:rsidRDefault="00CF599C">
    <w:pPr>
      <w:pStyle w:val="a6"/>
      <w:rPr>
        <w:rFonts w:ascii="Times New Roman" w:hAnsi="Times New Roman" w:cs="Times New Roman"/>
        <w:sz w:val="10"/>
        <w:szCs w:val="10"/>
      </w:rPr>
    </w:pPr>
    <w:r w:rsidRPr="00CF599C">
      <w:rPr>
        <w:rFonts w:ascii="Times New Roman" w:hAnsi="Times New Roman" w:cs="Times New Roman"/>
        <w:sz w:val="10"/>
        <w:szCs w:val="10"/>
      </w:rPr>
      <w:fldChar w:fldCharType="begin"/>
    </w:r>
    <w:r w:rsidRPr="00CF599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F599C">
      <w:rPr>
        <w:rFonts w:ascii="Times New Roman" w:hAnsi="Times New Roman" w:cs="Times New Roman"/>
        <w:sz w:val="10"/>
        <w:szCs w:val="10"/>
      </w:rPr>
      <w:fldChar w:fldCharType="separate"/>
    </w:r>
    <w:r w:rsidR="00AD5E9D">
      <w:rPr>
        <w:rFonts w:ascii="Times New Roman" w:hAnsi="Times New Roman" w:cs="Times New Roman"/>
        <w:noProof/>
        <w:sz w:val="10"/>
        <w:szCs w:val="10"/>
      </w:rPr>
      <w:t>G:\2022\Suddi\I senat\I koleg\28.docx</w:t>
    </w:r>
    <w:r w:rsidRPr="00CF599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0BFC" w14:textId="77777777" w:rsidR="008C7EFA" w:rsidRDefault="008C7EFA">
      <w:pPr>
        <w:spacing w:after="0" w:line="240" w:lineRule="auto"/>
      </w:pPr>
      <w:r>
        <w:separator/>
      </w:r>
    </w:p>
  </w:footnote>
  <w:footnote w:type="continuationSeparator" w:id="0">
    <w:p w14:paraId="03B5E19C" w14:textId="77777777" w:rsidR="008C7EFA" w:rsidRDefault="008C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BDF675" w14:textId="23B0BD06" w:rsidR="00395B78" w:rsidRPr="00A06B54" w:rsidRDefault="003D760A" w:rsidP="00A06B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5CB9" w:rsidRPr="002A5CB9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6D9C" w14:textId="11ABE5C3" w:rsidR="00583B9F" w:rsidRPr="004B44E3" w:rsidRDefault="002A5CB9" w:rsidP="004B44E3">
    <w:pPr>
      <w:pStyle w:val="a3"/>
      <w:jc w:val="right"/>
      <w:rPr>
        <w:rFonts w:ascii="Times New Roman" w:hAnsi="Times New Roman" w:cs="Times New Roman"/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B6"/>
    <w:rsid w:val="00043644"/>
    <w:rsid w:val="00045BB6"/>
    <w:rsid w:val="00085934"/>
    <w:rsid w:val="000E51A0"/>
    <w:rsid w:val="000F1EA2"/>
    <w:rsid w:val="00101C35"/>
    <w:rsid w:val="0010358D"/>
    <w:rsid w:val="00113167"/>
    <w:rsid w:val="0012069D"/>
    <w:rsid w:val="00135DAC"/>
    <w:rsid w:val="001434B8"/>
    <w:rsid w:val="001441BC"/>
    <w:rsid w:val="001555CB"/>
    <w:rsid w:val="00163619"/>
    <w:rsid w:val="001750E2"/>
    <w:rsid w:val="00187B4F"/>
    <w:rsid w:val="00197490"/>
    <w:rsid w:val="001A546A"/>
    <w:rsid w:val="001C119D"/>
    <w:rsid w:val="001C1816"/>
    <w:rsid w:val="002002D3"/>
    <w:rsid w:val="00201791"/>
    <w:rsid w:val="00205CAC"/>
    <w:rsid w:val="002469EE"/>
    <w:rsid w:val="00266E17"/>
    <w:rsid w:val="002718A9"/>
    <w:rsid w:val="00276D66"/>
    <w:rsid w:val="002A5CB9"/>
    <w:rsid w:val="002C4AF3"/>
    <w:rsid w:val="003229C3"/>
    <w:rsid w:val="003247B8"/>
    <w:rsid w:val="00326A17"/>
    <w:rsid w:val="00343E00"/>
    <w:rsid w:val="00346D01"/>
    <w:rsid w:val="00356B40"/>
    <w:rsid w:val="00361306"/>
    <w:rsid w:val="0036514F"/>
    <w:rsid w:val="0037193F"/>
    <w:rsid w:val="003A6E8F"/>
    <w:rsid w:val="003B3B64"/>
    <w:rsid w:val="003D01B6"/>
    <w:rsid w:val="003D760A"/>
    <w:rsid w:val="003D77A6"/>
    <w:rsid w:val="00410378"/>
    <w:rsid w:val="004112FB"/>
    <w:rsid w:val="004425D9"/>
    <w:rsid w:val="00462DA9"/>
    <w:rsid w:val="00474E70"/>
    <w:rsid w:val="00493CAC"/>
    <w:rsid w:val="004A7CF2"/>
    <w:rsid w:val="004B44E3"/>
    <w:rsid w:val="004D4C00"/>
    <w:rsid w:val="004E6199"/>
    <w:rsid w:val="004F0A6E"/>
    <w:rsid w:val="00517CBA"/>
    <w:rsid w:val="005235DB"/>
    <w:rsid w:val="005339D4"/>
    <w:rsid w:val="00537603"/>
    <w:rsid w:val="005412BC"/>
    <w:rsid w:val="00545D71"/>
    <w:rsid w:val="00577930"/>
    <w:rsid w:val="00583082"/>
    <w:rsid w:val="00597514"/>
    <w:rsid w:val="005A7919"/>
    <w:rsid w:val="005D166B"/>
    <w:rsid w:val="005E5A44"/>
    <w:rsid w:val="0061426A"/>
    <w:rsid w:val="00632A8E"/>
    <w:rsid w:val="00634F75"/>
    <w:rsid w:val="006915E4"/>
    <w:rsid w:val="006B508C"/>
    <w:rsid w:val="006C104F"/>
    <w:rsid w:val="006E61C5"/>
    <w:rsid w:val="00727018"/>
    <w:rsid w:val="0074195A"/>
    <w:rsid w:val="00760C14"/>
    <w:rsid w:val="0078207B"/>
    <w:rsid w:val="007A03DE"/>
    <w:rsid w:val="007B2E05"/>
    <w:rsid w:val="007B6371"/>
    <w:rsid w:val="007D2AD2"/>
    <w:rsid w:val="007D6903"/>
    <w:rsid w:val="007D72AE"/>
    <w:rsid w:val="008251F6"/>
    <w:rsid w:val="00826B1A"/>
    <w:rsid w:val="0084270B"/>
    <w:rsid w:val="008B1E49"/>
    <w:rsid w:val="008C520E"/>
    <w:rsid w:val="008C7EFA"/>
    <w:rsid w:val="008F0ACA"/>
    <w:rsid w:val="009035E4"/>
    <w:rsid w:val="009518B8"/>
    <w:rsid w:val="00955CD1"/>
    <w:rsid w:val="009636A6"/>
    <w:rsid w:val="009763D7"/>
    <w:rsid w:val="00992FD0"/>
    <w:rsid w:val="009940CA"/>
    <w:rsid w:val="009A5832"/>
    <w:rsid w:val="009E4B7E"/>
    <w:rsid w:val="009F6E8F"/>
    <w:rsid w:val="00A30AF8"/>
    <w:rsid w:val="00A31084"/>
    <w:rsid w:val="00A606AB"/>
    <w:rsid w:val="00A808F2"/>
    <w:rsid w:val="00A95B1F"/>
    <w:rsid w:val="00AB7432"/>
    <w:rsid w:val="00AC7065"/>
    <w:rsid w:val="00AD5E9D"/>
    <w:rsid w:val="00AE2410"/>
    <w:rsid w:val="00AF38A3"/>
    <w:rsid w:val="00B00067"/>
    <w:rsid w:val="00B16B2E"/>
    <w:rsid w:val="00B321B7"/>
    <w:rsid w:val="00B45FD4"/>
    <w:rsid w:val="00B5285F"/>
    <w:rsid w:val="00B73AF5"/>
    <w:rsid w:val="00BA032C"/>
    <w:rsid w:val="00BA09CC"/>
    <w:rsid w:val="00BB266C"/>
    <w:rsid w:val="00BD6B92"/>
    <w:rsid w:val="00BE0078"/>
    <w:rsid w:val="00BE5303"/>
    <w:rsid w:val="00C149EB"/>
    <w:rsid w:val="00C16892"/>
    <w:rsid w:val="00C5101F"/>
    <w:rsid w:val="00C82E99"/>
    <w:rsid w:val="00CA5899"/>
    <w:rsid w:val="00CB2758"/>
    <w:rsid w:val="00CC3B2D"/>
    <w:rsid w:val="00CD0C46"/>
    <w:rsid w:val="00CF599C"/>
    <w:rsid w:val="00D051EF"/>
    <w:rsid w:val="00D17F1A"/>
    <w:rsid w:val="00D50C88"/>
    <w:rsid w:val="00D50D17"/>
    <w:rsid w:val="00D6630D"/>
    <w:rsid w:val="00D71CBF"/>
    <w:rsid w:val="00D72F09"/>
    <w:rsid w:val="00D946D5"/>
    <w:rsid w:val="00D94F62"/>
    <w:rsid w:val="00DC4D6A"/>
    <w:rsid w:val="00DC78D0"/>
    <w:rsid w:val="00DF4254"/>
    <w:rsid w:val="00E05A9B"/>
    <w:rsid w:val="00E064F1"/>
    <w:rsid w:val="00E102B1"/>
    <w:rsid w:val="00E36B85"/>
    <w:rsid w:val="00E50690"/>
    <w:rsid w:val="00E52DB3"/>
    <w:rsid w:val="00E8243B"/>
    <w:rsid w:val="00E97826"/>
    <w:rsid w:val="00EA40D4"/>
    <w:rsid w:val="00EE33CE"/>
    <w:rsid w:val="00EF57BE"/>
    <w:rsid w:val="00F400ED"/>
    <w:rsid w:val="00F509A2"/>
    <w:rsid w:val="00F536AE"/>
    <w:rsid w:val="00F73430"/>
    <w:rsid w:val="00F83CD2"/>
    <w:rsid w:val="00F9287D"/>
    <w:rsid w:val="00F95258"/>
    <w:rsid w:val="00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68342C"/>
  <w15:chartTrackingRefBased/>
  <w15:docId w15:val="{7F38294B-0528-481B-84F1-1AFF983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B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F5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1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1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D01B6"/>
    <w:rPr>
      <w:lang w:val="en-US"/>
    </w:rPr>
  </w:style>
  <w:style w:type="paragraph" w:styleId="a5">
    <w:name w:val="List Paragraph"/>
    <w:basedOn w:val="a"/>
    <w:uiPriority w:val="34"/>
    <w:qFormat/>
    <w:rsid w:val="00D72F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7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78D0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B1E49"/>
    <w:rPr>
      <w:rFonts w:ascii="Segoe UI" w:hAnsi="Segoe UI" w:cs="Segoe UI"/>
      <w:sz w:val="18"/>
      <w:szCs w:val="18"/>
      <w:lang w:val="en-US"/>
    </w:rPr>
  </w:style>
  <w:style w:type="paragraph" w:customStyle="1" w:styleId="rvps2">
    <w:name w:val="rvps2"/>
    <w:basedOn w:val="a"/>
    <w:rsid w:val="00187B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87B4F"/>
  </w:style>
  <w:style w:type="character" w:styleId="aa">
    <w:name w:val="Hyperlink"/>
    <w:basedOn w:val="a0"/>
    <w:uiPriority w:val="99"/>
    <w:semiHidden/>
    <w:unhideWhenUsed/>
    <w:rsid w:val="00187B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C11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F59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426A-EB36-48E4-99C8-AB958063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4219</Words>
  <Characters>2406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Віктор В. Чередниченко</cp:lastModifiedBy>
  <cp:revision>2</cp:revision>
  <cp:lastPrinted>2022-11-03T12:23:00Z</cp:lastPrinted>
  <dcterms:created xsi:type="dcterms:W3CDTF">2023-08-30T07:20:00Z</dcterms:created>
  <dcterms:modified xsi:type="dcterms:W3CDTF">2023-08-30T07:20:00Z</dcterms:modified>
</cp:coreProperties>
</file>