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5321" w14:textId="77777777" w:rsidR="006B4859" w:rsidRDefault="006B4859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0312172" w14:textId="77777777" w:rsidR="006B4859" w:rsidRDefault="006B4859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2B14085" w14:textId="77777777" w:rsidR="006B4859" w:rsidRDefault="006B4859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D6FD431" w14:textId="77777777" w:rsidR="006B4859" w:rsidRDefault="006B4859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C96DC01" w14:textId="77777777" w:rsidR="006B4859" w:rsidRDefault="006B4859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C705F9D" w14:textId="77777777" w:rsidR="006B4859" w:rsidRDefault="006B4859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7EEE677" w14:textId="77777777" w:rsidR="006B4859" w:rsidRDefault="006B4859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8087168" w14:textId="00373A4C" w:rsidR="0074016E" w:rsidRPr="006B4859" w:rsidRDefault="0074016E" w:rsidP="006B4859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відмову у відкритті конституційного провадження у справі</w:t>
      </w:r>
      <w:r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  <w:t xml:space="preserve">за конституційною скаргою </w:t>
      </w:r>
      <w:r w:rsidR="00391565"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Петрика Ігоря Йосиповича</w:t>
      </w:r>
      <w:r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щодо відповідності Конституції України (конституційності) частини </w:t>
      </w:r>
      <w:r w:rsidR="00391565"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другої статті 392 </w:t>
      </w:r>
      <w:r w:rsid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/>
      </w:r>
      <w:r w:rsid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391565"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Кримінального процесуального кодексу України</w:t>
      </w:r>
    </w:p>
    <w:p w14:paraId="76F38921" w14:textId="77777777" w:rsidR="0074016E" w:rsidRPr="006B4859" w:rsidRDefault="0074016E" w:rsidP="006B48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7E0BBFC" w14:textId="0A45B1CD" w:rsidR="0074016E" w:rsidRPr="006B4859" w:rsidRDefault="0074016E" w:rsidP="006B4859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К и ї в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Справа № 3-1</w:t>
      </w:r>
      <w:r w:rsidR="0039156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57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/2025(</w:t>
      </w:r>
      <w:r w:rsidR="0039156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310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/25)</w:t>
      </w:r>
    </w:p>
    <w:p w14:paraId="03989C46" w14:textId="792246CC" w:rsidR="0074016E" w:rsidRPr="006B4859" w:rsidRDefault="006B4859" w:rsidP="006B4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4016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жовтня</w:t>
      </w:r>
      <w:r w:rsidR="009C035B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4016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року</w:t>
      </w:r>
    </w:p>
    <w:p w14:paraId="10AFE84C" w14:textId="3D30E59C" w:rsidR="0074016E" w:rsidRPr="006B4859" w:rsidRDefault="0074016E" w:rsidP="006B4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6D4A0C">
        <w:rPr>
          <w:rFonts w:ascii="Times New Roman" w:eastAsia="Times New Roman" w:hAnsi="Times New Roman" w:cs="Times New Roman"/>
          <w:sz w:val="28"/>
          <w:szCs w:val="28"/>
          <w:lang w:eastAsia="uk-UA"/>
        </w:rPr>
        <w:t>167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-2(І)/2025</w:t>
      </w:r>
    </w:p>
    <w:p w14:paraId="476F6E4C" w14:textId="77777777" w:rsidR="0074016E" w:rsidRPr="006B4859" w:rsidRDefault="0074016E" w:rsidP="006B48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E7266A" w14:textId="77777777" w:rsidR="0074016E" w:rsidRPr="006B4859" w:rsidRDefault="0074016E" w:rsidP="006B4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Друга колегія суддів Першого сенату Конституційного Суду України у складі:</w:t>
      </w:r>
    </w:p>
    <w:p w14:paraId="76B96AF3" w14:textId="77777777" w:rsidR="0074016E" w:rsidRPr="006B4859" w:rsidRDefault="0074016E" w:rsidP="006B4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48E031" w14:textId="4FDDD767" w:rsidR="0074016E" w:rsidRPr="006B4859" w:rsidRDefault="0074016E" w:rsidP="006B4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Грищук Оксани Вікторівни – </w:t>
      </w:r>
      <w:r w:rsidR="009C035B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головуючого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00CD91A5" w14:textId="640F0FE2" w:rsidR="0074016E" w:rsidRPr="006B4859" w:rsidRDefault="009C035B" w:rsidP="006B4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Барабаша Юрія Григоровича</w:t>
      </w:r>
      <w:r w:rsidR="0074016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6959123F" w14:textId="77777777" w:rsidR="0074016E" w:rsidRPr="006B4859" w:rsidRDefault="0074016E" w:rsidP="006B4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</w:t>
      </w:r>
      <w:proofErr w:type="spellEnd"/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Ольги Володимирівни – доповідача,</w:t>
      </w:r>
    </w:p>
    <w:p w14:paraId="191DFAA5" w14:textId="77777777" w:rsidR="0074016E" w:rsidRPr="006B4859" w:rsidRDefault="0074016E" w:rsidP="006B48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A0FF92" w14:textId="7C00BDD5" w:rsidR="00391565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39156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Петрика Ігоря Йосиповича щодо відповідності Конституції України (конституційності) частини другої статті 392 Кримінального процесуального кодексу України.</w:t>
      </w:r>
    </w:p>
    <w:p w14:paraId="65F8FDCD" w14:textId="007664AF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2D831B" w14:textId="77777777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Заслухавши суддю-доповідача </w:t>
      </w:r>
      <w:proofErr w:type="spellStart"/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Совгирю</w:t>
      </w:r>
      <w:proofErr w:type="spellEnd"/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 та дослідивши матеріали справи, Друга колегія суддів Першого сенату Конституційного Суду України</w:t>
      </w:r>
    </w:p>
    <w:p w14:paraId="190B704A" w14:textId="77777777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DF7350" w14:textId="77777777" w:rsidR="0074016E" w:rsidRPr="006B4859" w:rsidRDefault="0074016E" w:rsidP="006B4859">
      <w:pPr>
        <w:spacing w:after="0" w:line="37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14:paraId="2557B941" w14:textId="77777777" w:rsidR="0074016E" w:rsidRPr="006B4859" w:rsidRDefault="0074016E" w:rsidP="006B4859">
      <w:pPr>
        <w:spacing w:after="0" w:line="372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16AA963" w14:textId="5C1CC587" w:rsidR="0074016E" w:rsidRPr="006B4859" w:rsidRDefault="006B4859" w:rsidP="006B4859">
      <w:pPr>
        <w:suppressAutoHyphens w:val="0"/>
        <w:spacing w:after="0" w:line="37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1. </w:t>
      </w:r>
      <w:r w:rsidR="00C26F8B" w:rsidRPr="006B4859">
        <w:rPr>
          <w:rFonts w:ascii="Times New Roman" w:hAnsi="Times New Roman" w:cs="Times New Roman"/>
          <w:sz w:val="28"/>
          <w:szCs w:val="28"/>
          <w:lang w:eastAsia="uk-UA"/>
        </w:rPr>
        <w:t>Петрик І.Й.</w:t>
      </w:r>
      <w:r w:rsidR="0074016E" w:rsidRPr="006B4859">
        <w:rPr>
          <w:rFonts w:ascii="Times New Roman" w:hAnsi="Times New Roman" w:cs="Times New Roman"/>
          <w:sz w:val="28"/>
          <w:szCs w:val="28"/>
          <w:lang w:eastAsia="uk-UA"/>
        </w:rPr>
        <w:t xml:space="preserve"> звернувся до Конституційного Суду України </w:t>
      </w:r>
      <w:r w:rsidR="0074016E" w:rsidRPr="006B4859">
        <w:rPr>
          <w:rFonts w:ascii="Times New Roman" w:hAnsi="Times New Roman" w:cs="Times New Roman"/>
          <w:sz w:val="28"/>
          <w:szCs w:val="28"/>
          <w:lang w:eastAsia="uk-UA"/>
        </w:rPr>
        <w:br/>
        <w:t xml:space="preserve">з клопотанням </w:t>
      </w:r>
      <w:r w:rsidR="0074016E" w:rsidRPr="006B4859">
        <w:rPr>
          <w:rFonts w:ascii="Times New Roman" w:hAnsi="Times New Roman" w:cs="Times New Roman"/>
          <w:color w:val="000000"/>
          <w:sz w:val="28"/>
          <w:szCs w:val="28"/>
        </w:rPr>
        <w:t xml:space="preserve">перевірити на відповідність </w:t>
      </w:r>
      <w:r w:rsidR="00C26F8B" w:rsidRPr="006B4859">
        <w:rPr>
          <w:rFonts w:ascii="Times New Roman" w:hAnsi="Times New Roman" w:cs="Times New Roman"/>
          <w:color w:val="000000"/>
          <w:sz w:val="28"/>
          <w:szCs w:val="28"/>
        </w:rPr>
        <w:t xml:space="preserve">статтям 1, 3, 8, 22, 55, 129 </w:t>
      </w:r>
      <w:r w:rsidR="0074016E" w:rsidRPr="006B4859">
        <w:rPr>
          <w:rFonts w:ascii="Times New Roman" w:hAnsi="Times New Roman" w:cs="Times New Roman"/>
          <w:color w:val="000000"/>
          <w:sz w:val="28"/>
          <w:szCs w:val="28"/>
        </w:rPr>
        <w:t>Конституції України (конституці</w:t>
      </w:r>
      <w:r w:rsidR="00C26F8B" w:rsidRPr="006B4859">
        <w:rPr>
          <w:rFonts w:ascii="Times New Roman" w:hAnsi="Times New Roman" w:cs="Times New Roman"/>
          <w:color w:val="000000"/>
          <w:sz w:val="28"/>
          <w:szCs w:val="28"/>
        </w:rPr>
        <w:t>йність) частину другу статті 392 Кримінального процесуального кодексу</w:t>
      </w:r>
      <w:r w:rsidR="0074016E" w:rsidRPr="006B4859">
        <w:rPr>
          <w:rFonts w:ascii="Times New Roman" w:hAnsi="Times New Roman" w:cs="Times New Roman"/>
          <w:color w:val="000000"/>
          <w:sz w:val="28"/>
          <w:szCs w:val="28"/>
        </w:rPr>
        <w:t xml:space="preserve"> України (далі </w:t>
      </w:r>
      <w:r w:rsidR="0074016E" w:rsidRPr="006B4859">
        <w:rPr>
          <w:rFonts w:ascii="Times New Roman" w:hAnsi="Times New Roman" w:cs="Times New Roman"/>
          <w:sz w:val="28"/>
          <w:szCs w:val="28"/>
          <w:lang w:eastAsia="uk-UA"/>
        </w:rPr>
        <w:t>–</w:t>
      </w:r>
      <w:r w:rsidR="0074016E" w:rsidRPr="006B4859">
        <w:rPr>
          <w:rFonts w:ascii="Times New Roman" w:hAnsi="Times New Roman" w:cs="Times New Roman"/>
          <w:color w:val="000000"/>
          <w:sz w:val="28"/>
          <w:szCs w:val="28"/>
        </w:rPr>
        <w:t xml:space="preserve"> Кодекс). </w:t>
      </w:r>
    </w:p>
    <w:p w14:paraId="63F10C56" w14:textId="6124D25F" w:rsidR="0074016E" w:rsidRPr="006B4859" w:rsidRDefault="00C26F8B" w:rsidP="006B4859">
      <w:pPr>
        <w:spacing w:after="0" w:line="37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485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Відповідно до частини другої </w:t>
      </w:r>
      <w:r w:rsidR="0074016E" w:rsidRPr="006B4859">
        <w:rPr>
          <w:rFonts w:ascii="Times New Roman" w:hAnsi="Times New Roman" w:cs="Times New Roman"/>
          <w:color w:val="000000"/>
          <w:sz w:val="28"/>
          <w:szCs w:val="28"/>
        </w:rPr>
        <w:t xml:space="preserve">статті </w:t>
      </w:r>
      <w:r w:rsidRPr="006B4859">
        <w:rPr>
          <w:rFonts w:ascii="Times New Roman" w:hAnsi="Times New Roman" w:cs="Times New Roman"/>
          <w:color w:val="000000"/>
          <w:sz w:val="28"/>
          <w:szCs w:val="28"/>
        </w:rPr>
        <w:t>392</w:t>
      </w:r>
      <w:r w:rsidR="0074016E" w:rsidRPr="006B4859">
        <w:rPr>
          <w:rFonts w:ascii="Times New Roman" w:hAnsi="Times New Roman" w:cs="Times New Roman"/>
          <w:color w:val="000000"/>
          <w:sz w:val="28"/>
          <w:szCs w:val="28"/>
        </w:rPr>
        <w:t xml:space="preserve"> Кодексу </w:t>
      </w:r>
      <w:r w:rsidR="008524F0" w:rsidRPr="006B4859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6B4859">
        <w:rPr>
          <w:rFonts w:ascii="Times New Roman" w:hAnsi="Times New Roman" w:cs="Times New Roman"/>
          <w:color w:val="000000"/>
          <w:sz w:val="28"/>
          <w:szCs w:val="28"/>
        </w:rPr>
        <w:t>хвали, постановлені під час судового провадження в суді першої інстанції до ухвалення судових рішень, передбачених частиною першою цієї статті, окремому оскарженню не підлягають, крім випадків, визначених Кодексом</w:t>
      </w:r>
      <w:r w:rsidR="0010161E" w:rsidRPr="006B4859">
        <w:rPr>
          <w:rFonts w:ascii="Times New Roman" w:hAnsi="Times New Roman" w:cs="Times New Roman"/>
          <w:color w:val="000000"/>
          <w:sz w:val="28"/>
          <w:szCs w:val="28"/>
        </w:rPr>
        <w:t>; з</w:t>
      </w:r>
      <w:r w:rsidRPr="006B4859">
        <w:rPr>
          <w:rFonts w:ascii="Times New Roman" w:hAnsi="Times New Roman" w:cs="Times New Roman"/>
          <w:color w:val="000000"/>
          <w:sz w:val="28"/>
          <w:szCs w:val="28"/>
        </w:rPr>
        <w:t>аперечення проти таких ухвал можуть бути включені до апеляційної скарги на судове рішення, передбачене частиною першою цієї статт</w:t>
      </w:r>
      <w:r w:rsidR="0010161E" w:rsidRPr="006B4859">
        <w:rPr>
          <w:rFonts w:ascii="Times New Roman" w:hAnsi="Times New Roman" w:cs="Times New Roman"/>
          <w:color w:val="000000"/>
          <w:sz w:val="28"/>
          <w:szCs w:val="28"/>
        </w:rPr>
        <w:t>і; у</w:t>
      </w:r>
      <w:r w:rsidRPr="006B4859">
        <w:rPr>
          <w:rFonts w:ascii="Times New Roman" w:hAnsi="Times New Roman" w:cs="Times New Roman"/>
          <w:color w:val="000000"/>
          <w:sz w:val="28"/>
          <w:szCs w:val="28"/>
        </w:rPr>
        <w:t xml:space="preserve">хвали суду про обрання запобіжного заходу у виді тримання під вартою, про зміну іншого запобіжного заходу на запобіжний захід у виді тримання під вартою або про продовження строку тримання під вартою, постановлені під час судового провадження в суді першої інстанції до ухвалення судового рішення по суті, підлягають апеляційному оскарженню в порядку, </w:t>
      </w:r>
      <w:r w:rsidR="008E772C" w:rsidRPr="006B4859">
        <w:rPr>
          <w:rFonts w:ascii="Times New Roman" w:hAnsi="Times New Roman" w:cs="Times New Roman"/>
          <w:color w:val="000000"/>
          <w:sz w:val="28"/>
          <w:szCs w:val="28"/>
        </w:rPr>
        <w:t>установле</w:t>
      </w:r>
      <w:r w:rsidRPr="006B4859">
        <w:rPr>
          <w:rFonts w:ascii="Times New Roman" w:hAnsi="Times New Roman" w:cs="Times New Roman"/>
          <w:color w:val="000000"/>
          <w:sz w:val="28"/>
          <w:szCs w:val="28"/>
        </w:rPr>
        <w:t>ному Кодексом</w:t>
      </w:r>
      <w:r w:rsidR="0074016E" w:rsidRPr="006B485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73231F" w14:textId="77777777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173AF9" w14:textId="77777777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2. Зі змісту конституційної скарги та долучених до неї матеріалів убачається таке.</w:t>
      </w:r>
    </w:p>
    <w:p w14:paraId="5FFB72E2" w14:textId="17EC7582" w:rsidR="003838FB" w:rsidRPr="006B4859" w:rsidRDefault="00DE4EC3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Вищий антикорупційний суд</w:t>
      </w:r>
      <w:r w:rsidR="003838FB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ухвалою від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30 квітня 2025 </w:t>
      </w:r>
      <w:r w:rsidR="003838FB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року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неповажними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причини неприбуття </w:t>
      </w:r>
      <w:r w:rsidR="008E772C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6D0D24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судове засідання Петрика І.Й., 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є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обвинувачен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им у вчиненні кримінального правопорушення</w:t>
      </w:r>
      <w:r w:rsidR="006D0D24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визначеного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частиною третьою статті 368 Кримінального кодексу України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накла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на нього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грошове стягнення 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розмірі 6 056 (шість тисяч п’ятдесят шість) гривень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130933" w14:textId="5CCEAA2E" w:rsidR="00DE4EC3" w:rsidRPr="006B4859" w:rsidRDefault="008524F0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Апеляційна палата Вищого антикорупційного 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суду</w:t>
      </w:r>
      <w:r w:rsidR="00DE4EC3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ухвалою </w:t>
      </w:r>
      <w:r w:rsidR="00FA1A8A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r w:rsidR="00DE4EC3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1A8A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28 травня</w:t>
      </w:r>
      <w:r w:rsidR="00DE4EC3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FA1A8A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DE4EC3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відмови</w:t>
      </w:r>
      <w:r w:rsidR="00990EA2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ла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Петрику І.Й.</w:t>
      </w:r>
      <w:r w:rsidR="00DE4EC3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відкритті апеляційного провадження, оскільки 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Кодексом</w:t>
      </w:r>
      <w:r w:rsidR="00DE4EC3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передбачено оскарження в апеляційному порядку ухвал 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визнання непов</w:t>
      </w:r>
      <w:r w:rsidR="00D27603">
        <w:rPr>
          <w:rFonts w:ascii="Times New Roman" w:eastAsia="Times New Roman" w:hAnsi="Times New Roman" w:cs="Times New Roman"/>
          <w:sz w:val="28"/>
          <w:szCs w:val="28"/>
          <w:lang w:eastAsia="uk-UA"/>
        </w:rPr>
        <w:t>ажними</w:t>
      </w:r>
      <w:r w:rsidR="0010161E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причин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неприбуття обвинуваченого </w:t>
      </w:r>
      <w:r w:rsidR="008E772C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судове засідання та накладення на нього грошового стягнення, постановлених під час судового провадження.</w:t>
      </w:r>
    </w:p>
    <w:p w14:paraId="1B461C2F" w14:textId="6EB5E826" w:rsidR="0074016E" w:rsidRPr="006B4859" w:rsidRDefault="00DE4EC3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Верховний Суд у складі колегії суддів 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судової палати Касаційного кримінального суду, погодившись із позицією суду апеляційної інстанції, ухвалою від 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26 червня 2025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відмовив </w:t>
      </w:r>
      <w:r w:rsidR="001C1360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Петрику І.Й.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відкритті касаційного провадження.</w:t>
      </w:r>
    </w:p>
    <w:p w14:paraId="1059F2DA" w14:textId="18C0D4A3" w:rsidR="001C1360" w:rsidRPr="006B4859" w:rsidRDefault="004C2BF6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Суб’єкт права на конституційну скаргу стверджує, </w:t>
      </w:r>
      <w:r w:rsidR="00990EA2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відсутність у</w:t>
      </w:r>
      <w:r w:rsid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="00990EA2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частині другій статті </w:t>
      </w:r>
      <w:r w:rsidR="00D46B28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392 </w:t>
      </w:r>
      <w:r w:rsidR="00990EA2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Кодексу положення, як</w:t>
      </w:r>
      <w:r w:rsidR="00D46B28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е передбачає</w:t>
      </w:r>
      <w:r w:rsidR="00990EA2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 на апеляційне оскарження ухвали суду про визнання неповажними причин неприбуття обвинуваченого </w:t>
      </w:r>
      <w:r w:rsidR="00F6734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="00990EA2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судове засідання та накладення грошового стягнення, позбавляє його права на судовий захист в аспекті права на апеляційне оскарження судового рішення, а також права будь-якими не забороненими законом засобами захищати свої права і свободи від порушень і протиправних посягань.</w:t>
      </w:r>
    </w:p>
    <w:p w14:paraId="6B1CA2EA" w14:textId="77777777" w:rsidR="001C1360" w:rsidRPr="006B4859" w:rsidRDefault="001C1360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C3F3EE" w14:textId="77777777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3. Вирішуючи питання про відкриття конституційного провадження у справі, Друга колегія суддів Першого сенату Конституційного Суду України виходить із такого.</w:t>
      </w:r>
    </w:p>
    <w:p w14:paraId="25719B0C" w14:textId="0F1C5200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Згідно із Законом України „Про Конституційний Суд України“ конституційною скаргою є подане до Конституційного Суду України письмове клопотання щодо перевірки на відповідність Конституції України (конституційність) закону України (його окремих положень), що застосований в остаточному судовому рішенні у справі суб’єкта права на конституційну скаргу (частина перша статті 55);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Основни</w:t>
      </w:r>
      <w:r w:rsidR="009C035B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Законом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конституційна скарга є прийнятною за умов її відповідності вимогам, визначеним статтями 55, 56 цього закону (абзац перший частини першої статті 77). </w:t>
      </w:r>
    </w:p>
    <w:p w14:paraId="3DCDA63F" w14:textId="5E6DEC87" w:rsidR="00990EA2" w:rsidRPr="006B4859" w:rsidRDefault="00D46B28" w:rsidP="006B4859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 змісту конституційної скарги дає підстави для висновку,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що</w:t>
      </w:r>
      <w:r w:rsidR="00F6734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Петрик І.Й.</w:t>
      </w:r>
      <w:r w:rsidR="004F517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34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верд</w:t>
      </w:r>
      <w:r w:rsidR="00F67345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чи про невідповідність частини другої статті 392 Кодексу Конституції України, висловлює незгоду з визначеним у Кодексі порядком апеляційного оскарження ухвал, постановлених судом під час судового розгляду</w:t>
      </w:r>
      <w:r w:rsidR="006D0D24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кримінальної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справи, наводить власне бачення законодавчого регулювання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оскарження ух</w:t>
      </w:r>
      <w:r w:rsidR="006D0D24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вал 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визнання непов</w:t>
      </w:r>
      <w:r w:rsidR="00D27603">
        <w:rPr>
          <w:rFonts w:ascii="Times New Roman" w:eastAsia="Times New Roman" w:hAnsi="Times New Roman" w:cs="Times New Roman"/>
          <w:sz w:val="28"/>
          <w:szCs w:val="28"/>
          <w:lang w:eastAsia="uk-UA"/>
        </w:rPr>
        <w:t>ажними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причин неприбуття обвинуваченого </w:t>
      </w:r>
      <w:r w:rsidR="00845C82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на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судове засідання та накладення грошового стягнення, </w:t>
      </w:r>
      <w:r w:rsidR="00471D8D" w:rsidRPr="006B4859">
        <w:rPr>
          <w:rFonts w:ascii="Times New Roman" w:hAnsi="Times New Roman" w:cs="Times New Roman"/>
          <w:sz w:val="28"/>
          <w:szCs w:val="28"/>
        </w:rPr>
        <w:t>аргументує</w:t>
      </w:r>
      <w:r w:rsidR="00845C82" w:rsidRPr="006B4859">
        <w:rPr>
          <w:rFonts w:ascii="Times New Roman" w:hAnsi="Times New Roman" w:cs="Times New Roman"/>
          <w:sz w:val="28"/>
          <w:szCs w:val="28"/>
        </w:rPr>
        <w:t xml:space="preserve"> неконституційність </w:t>
      </w:r>
      <w:r w:rsidRPr="006B4859">
        <w:rPr>
          <w:rFonts w:ascii="Times New Roman" w:hAnsi="Times New Roman" w:cs="Times New Roman"/>
          <w:sz w:val="28"/>
          <w:szCs w:val="28"/>
        </w:rPr>
        <w:t xml:space="preserve">оспорюваних положень Кодексу фактичними </w:t>
      </w:r>
      <w:r w:rsidR="00471D8D" w:rsidRPr="006B4859">
        <w:rPr>
          <w:rFonts w:ascii="Times New Roman" w:hAnsi="Times New Roman" w:cs="Times New Roman"/>
          <w:sz w:val="28"/>
          <w:szCs w:val="28"/>
        </w:rPr>
        <w:t>обставинами його справи</w:t>
      </w:r>
      <w:r w:rsidR="006D0D24" w:rsidRPr="006B48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53F1ED" w14:textId="450A373E" w:rsidR="00471D8D" w:rsidRPr="006B4859" w:rsidRDefault="00471D8D" w:rsidP="006B4859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859">
        <w:rPr>
          <w:rFonts w:ascii="Times New Roman" w:hAnsi="Times New Roman" w:cs="Times New Roman"/>
          <w:sz w:val="28"/>
          <w:szCs w:val="28"/>
        </w:rPr>
        <w:t xml:space="preserve">Крім того, автор клопотання ототожнює право </w:t>
      </w:r>
      <w:r w:rsidR="00845C82" w:rsidRPr="006B4859">
        <w:rPr>
          <w:rFonts w:ascii="Times New Roman" w:hAnsi="Times New Roman" w:cs="Times New Roman"/>
          <w:sz w:val="28"/>
          <w:szCs w:val="28"/>
        </w:rPr>
        <w:t xml:space="preserve">на </w:t>
      </w:r>
      <w:r w:rsidRPr="006B4859">
        <w:rPr>
          <w:rFonts w:ascii="Times New Roman" w:hAnsi="Times New Roman" w:cs="Times New Roman"/>
          <w:sz w:val="28"/>
          <w:szCs w:val="28"/>
        </w:rPr>
        <w:t xml:space="preserve">апеляційний перегляд справи як </w:t>
      </w:r>
      <w:r w:rsidR="005248DF" w:rsidRPr="006B4859">
        <w:rPr>
          <w:rFonts w:ascii="Times New Roman" w:hAnsi="Times New Roman" w:cs="Times New Roman"/>
          <w:sz w:val="28"/>
          <w:szCs w:val="28"/>
        </w:rPr>
        <w:t xml:space="preserve">одну з основних </w:t>
      </w:r>
      <w:r w:rsidRPr="006B4859">
        <w:rPr>
          <w:rFonts w:ascii="Times New Roman" w:hAnsi="Times New Roman" w:cs="Times New Roman"/>
          <w:sz w:val="28"/>
          <w:szCs w:val="28"/>
        </w:rPr>
        <w:t>конституційно визначен</w:t>
      </w:r>
      <w:r w:rsidR="005248DF" w:rsidRPr="006B4859">
        <w:rPr>
          <w:rFonts w:ascii="Times New Roman" w:hAnsi="Times New Roman" w:cs="Times New Roman"/>
          <w:sz w:val="28"/>
          <w:szCs w:val="28"/>
        </w:rPr>
        <w:t>их</w:t>
      </w:r>
      <w:r w:rsidRPr="006B4859">
        <w:rPr>
          <w:rFonts w:ascii="Times New Roman" w:hAnsi="Times New Roman" w:cs="Times New Roman"/>
          <w:sz w:val="28"/>
          <w:szCs w:val="28"/>
        </w:rPr>
        <w:t xml:space="preserve"> засад судочинства з правом на апеляційне оскарження будь-якого судового рішення. </w:t>
      </w:r>
    </w:p>
    <w:p w14:paraId="14085510" w14:textId="142FC263" w:rsidR="005C3DC6" w:rsidRPr="006B4859" w:rsidRDefault="006B4859" w:rsidP="006B4859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471D8D" w:rsidRPr="006B4859">
        <w:rPr>
          <w:rFonts w:ascii="Times New Roman" w:hAnsi="Times New Roman" w:cs="Times New Roman"/>
          <w:sz w:val="28"/>
          <w:szCs w:val="28"/>
        </w:rPr>
        <w:t xml:space="preserve">юридичною позицією Конституційного Суду України, викладеною в Рішенні від 17 березня 2020 року № 5-р/2020, „право на апеляційний перегляд справи, передбачене пунктом 8 частини другої статті 129 Конституції України, є гарантованим правом на перегляд у суді апеляційної інстанції справи, розглянутої судом першої інстанції по суті. Водночас зазначений конституційний припис не </w:t>
      </w:r>
      <w:r w:rsidR="00CC645F" w:rsidRPr="006B4859">
        <w:rPr>
          <w:rFonts w:ascii="Times New Roman" w:hAnsi="Times New Roman" w:cs="Times New Roman"/>
          <w:sz w:val="28"/>
          <w:szCs w:val="28"/>
        </w:rPr>
        <w:t xml:space="preserve">позбавляє </w:t>
      </w:r>
      <w:r w:rsidR="00471D8D" w:rsidRPr="006B4859">
        <w:rPr>
          <w:rFonts w:ascii="Times New Roman" w:hAnsi="Times New Roman" w:cs="Times New Roman"/>
          <w:sz w:val="28"/>
          <w:szCs w:val="28"/>
        </w:rPr>
        <w:t xml:space="preserve">законодавця повноваження передбачити можливість апеляційного оскарження будь-якого рішення, що його ухвалює суд під час розгляду справи, але не вирішує її по суті, або встановити обмеження чи заборону на оскарження в апеляційному порядку окремих процесуальних судових рішень, якими справа не вирішується по суті“ (абзац восьмий </w:t>
      </w:r>
      <w:r w:rsidR="005D5DA6" w:rsidRPr="006B4859">
        <w:rPr>
          <w:rFonts w:ascii="Times New Roman" w:hAnsi="Times New Roman" w:cs="Times New Roman"/>
          <w:sz w:val="28"/>
          <w:szCs w:val="28"/>
        </w:rPr>
        <w:br/>
      </w:r>
      <w:r w:rsidR="00471D8D" w:rsidRPr="006B4859">
        <w:rPr>
          <w:rFonts w:ascii="Times New Roman" w:hAnsi="Times New Roman" w:cs="Times New Roman"/>
          <w:sz w:val="28"/>
          <w:szCs w:val="28"/>
        </w:rPr>
        <w:t>підпункту 2.2 пункту 2 мотивувальної частини).</w:t>
      </w:r>
    </w:p>
    <w:p w14:paraId="053660E1" w14:textId="67A7FC21" w:rsidR="006C0AB7" w:rsidRPr="006B4859" w:rsidRDefault="006C0AB7" w:rsidP="006B4859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859">
        <w:rPr>
          <w:rFonts w:ascii="Times New Roman" w:hAnsi="Times New Roman" w:cs="Times New Roman"/>
          <w:sz w:val="28"/>
          <w:szCs w:val="28"/>
        </w:rPr>
        <w:t xml:space="preserve">Отже, Петрик І.Й. не обґрунтував тверджень щодо невідповідності Конституції України </w:t>
      </w:r>
      <w:r w:rsidR="006D0D24" w:rsidRPr="006B4859">
        <w:rPr>
          <w:rFonts w:ascii="Times New Roman" w:hAnsi="Times New Roman" w:cs="Times New Roman"/>
          <w:sz w:val="28"/>
          <w:szCs w:val="28"/>
        </w:rPr>
        <w:t>частини другої статті 392</w:t>
      </w:r>
      <w:r w:rsidRPr="006B4859">
        <w:rPr>
          <w:rFonts w:ascii="Times New Roman" w:hAnsi="Times New Roman" w:cs="Times New Roman"/>
          <w:sz w:val="28"/>
          <w:szCs w:val="28"/>
        </w:rPr>
        <w:t xml:space="preserve">  Кодексу, що є підставою для відмови у відкритті конституційного провадження </w:t>
      </w:r>
      <w:r w:rsidR="000B22F9" w:rsidRPr="006B4859">
        <w:rPr>
          <w:rFonts w:ascii="Times New Roman" w:hAnsi="Times New Roman" w:cs="Times New Roman"/>
          <w:sz w:val="28"/>
          <w:szCs w:val="28"/>
        </w:rPr>
        <w:t xml:space="preserve">у справі </w:t>
      </w:r>
      <w:r w:rsidRPr="006B4859">
        <w:rPr>
          <w:rFonts w:ascii="Times New Roman" w:hAnsi="Times New Roman" w:cs="Times New Roman"/>
          <w:sz w:val="28"/>
          <w:szCs w:val="28"/>
        </w:rPr>
        <w:t>згідно з пунктом 4 статті 62 Закону України „Про Конституційний Суд України“ – неприйнятність конституційної скарги.</w:t>
      </w:r>
    </w:p>
    <w:p w14:paraId="1E20EEC5" w14:textId="77777777" w:rsidR="002A1334" w:rsidRPr="006B4859" w:rsidRDefault="002A1334" w:rsidP="006B4859">
      <w:pPr>
        <w:spacing w:after="0" w:line="37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EC0F4C" w14:textId="3CB59BA5" w:rsidR="0074016E" w:rsidRPr="006B4859" w:rsidRDefault="0074016E" w:rsidP="006B4859">
      <w:pPr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Ураховуючи викладене та керуючись статтями 147, 151</w:t>
      </w:r>
      <w:r w:rsidRPr="006B4859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, 153 Конституції України, на підставі статей 7, 32, 37, 50, 55, 56, 58, 62, 77, 83, 86 Закону України „Про Конституційний Суд України“, відповідно до § 45, § 56 Регламенту Конституційного Суду України Друга колегія суддів Першого сенату Конституційного Суду України</w:t>
      </w:r>
    </w:p>
    <w:p w14:paraId="3537820D" w14:textId="3527458E" w:rsidR="0074016E" w:rsidRPr="006B4859" w:rsidRDefault="00A227B5" w:rsidP="006B4859">
      <w:pPr>
        <w:spacing w:after="0" w:line="37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 о с т а н о в и л а</w:t>
      </w:r>
      <w:r w:rsidR="0074016E" w:rsidRPr="006B485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2D84EF1C" w14:textId="77777777" w:rsidR="0074016E" w:rsidRPr="006B4859" w:rsidRDefault="0074016E" w:rsidP="006B4859">
      <w:pPr>
        <w:spacing w:after="0" w:line="372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52E3D5B" w14:textId="77777777" w:rsidR="006B4859" w:rsidRDefault="006B4859" w:rsidP="006B4859">
      <w:pPr>
        <w:suppressAutoHyphens w:val="0"/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4016E" w:rsidRPr="006B4859">
        <w:rPr>
          <w:rFonts w:ascii="Times New Roman" w:hAnsi="Times New Roman" w:cs="Times New Roman"/>
          <w:sz w:val="28"/>
          <w:szCs w:val="28"/>
        </w:rPr>
        <w:t xml:space="preserve">Відмовити у відкритті конституційного провадження у справі </w:t>
      </w:r>
      <w:r w:rsidR="0074016E" w:rsidRPr="006B4859">
        <w:rPr>
          <w:rFonts w:ascii="Times New Roman" w:hAnsi="Times New Roman" w:cs="Times New Roman"/>
          <w:sz w:val="28"/>
          <w:szCs w:val="28"/>
        </w:rPr>
        <w:br/>
        <w:t xml:space="preserve">за конституційною скаргою </w:t>
      </w:r>
      <w:r w:rsidR="004C2BF6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Петрика Ігоря Йосиповича щодо відповідності Конституції України (конституційності) частини другої статті 392 Кримінального процесуального кодексу України</w:t>
      </w:r>
      <w:r w:rsidR="0074016E" w:rsidRPr="006B4859">
        <w:rPr>
          <w:rFonts w:ascii="Times New Roman" w:hAnsi="Times New Roman" w:cs="Times New Roman"/>
          <w:sz w:val="28"/>
          <w:szCs w:val="28"/>
        </w:rPr>
        <w:t xml:space="preserve"> на підставі пункту 4 статті 62 Закону України „Про Конституційний Суд України“ – неприйнятність конституційної скарги.</w:t>
      </w:r>
    </w:p>
    <w:p w14:paraId="71D10BCA" w14:textId="77777777" w:rsidR="006B4859" w:rsidRDefault="006B4859" w:rsidP="006B4859">
      <w:pPr>
        <w:suppressAutoHyphens w:val="0"/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778C29" w14:textId="2C438AF2" w:rsidR="0074016E" w:rsidRPr="006B4859" w:rsidRDefault="006B4859" w:rsidP="006B4859">
      <w:pPr>
        <w:suppressAutoHyphens w:val="0"/>
        <w:spacing w:after="0" w:line="37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74016E" w:rsidRPr="006B4859">
        <w:rPr>
          <w:rFonts w:ascii="Times New Roman" w:hAnsi="Times New Roman" w:cs="Times New Roman"/>
          <w:sz w:val="28"/>
          <w:szCs w:val="28"/>
        </w:rPr>
        <w:t>Ухвала</w:t>
      </w:r>
      <w:r w:rsidR="005728BC" w:rsidRPr="006B4859">
        <w:rPr>
          <w:rFonts w:ascii="Times New Roman" w:hAnsi="Times New Roman" w:cs="Times New Roman"/>
          <w:sz w:val="28"/>
          <w:szCs w:val="28"/>
        </w:rPr>
        <w:t xml:space="preserve"> </w:t>
      </w:r>
      <w:r w:rsidR="005728BC" w:rsidRPr="006B4859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Другої колегії суддів Першого сенату Конституційного Суду України</w:t>
      </w:r>
      <w:r w:rsidR="0074016E" w:rsidRPr="006B4859">
        <w:rPr>
          <w:rFonts w:ascii="Times New Roman" w:hAnsi="Times New Roman" w:cs="Times New Roman"/>
          <w:sz w:val="28"/>
          <w:szCs w:val="28"/>
        </w:rPr>
        <w:t xml:space="preserve"> є остаточною.</w:t>
      </w:r>
    </w:p>
    <w:p w14:paraId="760F2CC2" w14:textId="3A8C1314" w:rsidR="006B4859" w:rsidRDefault="006B4859" w:rsidP="006B4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4B970" w14:textId="7E9E60B6" w:rsidR="006B4859" w:rsidRDefault="006B4859" w:rsidP="006B4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F12D37" w14:textId="77777777" w:rsidR="006B4859" w:rsidRDefault="006B4859" w:rsidP="006B48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EC776" w14:textId="77777777" w:rsidR="002D6E48" w:rsidRPr="002D6E48" w:rsidRDefault="002D6E48" w:rsidP="002D6E48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bookmarkStart w:id="0" w:name="_GoBack"/>
      <w:r w:rsidRPr="002D6E48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Друга колегія суддів</w:t>
      </w:r>
    </w:p>
    <w:p w14:paraId="4606E7B2" w14:textId="77777777" w:rsidR="002D6E48" w:rsidRPr="002D6E48" w:rsidRDefault="002D6E48" w:rsidP="002D6E48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</w:pPr>
      <w:r w:rsidRPr="002D6E48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Першого сенату</w:t>
      </w:r>
    </w:p>
    <w:p w14:paraId="50353504" w14:textId="6459044D" w:rsidR="006B4859" w:rsidRPr="002D6E48" w:rsidRDefault="002D6E48" w:rsidP="002D6E48">
      <w:pPr>
        <w:spacing w:after="0" w:line="240" w:lineRule="auto"/>
        <w:ind w:left="424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D6E48">
        <w:rPr>
          <w:rFonts w:ascii="Times New Roman" w:eastAsia="Times New Roman" w:hAnsi="Times New Roman" w:cs="Times New Roman"/>
          <w:b/>
          <w:caps/>
          <w:sz w:val="28"/>
          <w:szCs w:val="28"/>
          <w:lang w:eastAsia="uk-UA"/>
        </w:rPr>
        <w:t>Конституційного Суду України</w:t>
      </w:r>
      <w:bookmarkEnd w:id="0"/>
    </w:p>
    <w:sectPr w:rsidR="006B4859" w:rsidRPr="002D6E48" w:rsidSect="006B4859">
      <w:headerReference w:type="default" r:id="rId8"/>
      <w:foot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7AC00" w14:textId="77777777" w:rsidR="004C58F6" w:rsidRDefault="004C58F6">
      <w:pPr>
        <w:spacing w:after="0" w:line="240" w:lineRule="auto"/>
      </w:pPr>
      <w:r>
        <w:separator/>
      </w:r>
    </w:p>
  </w:endnote>
  <w:endnote w:type="continuationSeparator" w:id="0">
    <w:p w14:paraId="58F6D330" w14:textId="77777777" w:rsidR="004C58F6" w:rsidRDefault="004C5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28CA4" w14:textId="10357CC7" w:rsidR="006B4859" w:rsidRPr="006B4859" w:rsidRDefault="006B4859">
    <w:pPr>
      <w:pStyle w:val="af3"/>
      <w:rPr>
        <w:rFonts w:ascii="Times New Roman" w:hAnsi="Times New Roman" w:cs="Times New Roman"/>
        <w:sz w:val="10"/>
        <w:szCs w:val="10"/>
      </w:rPr>
    </w:pPr>
    <w:r w:rsidRPr="006B4859">
      <w:rPr>
        <w:rFonts w:ascii="Times New Roman" w:hAnsi="Times New Roman" w:cs="Times New Roman"/>
        <w:sz w:val="10"/>
        <w:szCs w:val="10"/>
      </w:rPr>
      <w:fldChar w:fldCharType="begin"/>
    </w:r>
    <w:r w:rsidRPr="006B485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B4859">
      <w:rPr>
        <w:rFonts w:ascii="Times New Roman" w:hAnsi="Times New Roman" w:cs="Times New Roman"/>
        <w:sz w:val="10"/>
        <w:szCs w:val="10"/>
      </w:rPr>
      <w:fldChar w:fldCharType="separate"/>
    </w:r>
    <w:r w:rsidR="002D6E48">
      <w:rPr>
        <w:rFonts w:ascii="Times New Roman" w:hAnsi="Times New Roman" w:cs="Times New Roman"/>
        <w:noProof/>
        <w:sz w:val="10"/>
        <w:szCs w:val="10"/>
      </w:rPr>
      <w:t>S:\Mashburo\2025\Suddi\I senat\II koleg\24.docx</w:t>
    </w:r>
    <w:r w:rsidRPr="006B485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D2C9F" w14:textId="03FC0335" w:rsidR="006B4859" w:rsidRPr="006B4859" w:rsidRDefault="006B4859">
    <w:pPr>
      <w:pStyle w:val="af3"/>
      <w:rPr>
        <w:rFonts w:ascii="Times New Roman" w:hAnsi="Times New Roman" w:cs="Times New Roman"/>
        <w:sz w:val="10"/>
        <w:szCs w:val="10"/>
      </w:rPr>
    </w:pPr>
    <w:r w:rsidRPr="006B4859">
      <w:rPr>
        <w:rFonts w:ascii="Times New Roman" w:hAnsi="Times New Roman" w:cs="Times New Roman"/>
        <w:sz w:val="10"/>
        <w:szCs w:val="10"/>
      </w:rPr>
      <w:fldChar w:fldCharType="begin"/>
    </w:r>
    <w:r w:rsidRPr="006B485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6B4859">
      <w:rPr>
        <w:rFonts w:ascii="Times New Roman" w:hAnsi="Times New Roman" w:cs="Times New Roman"/>
        <w:sz w:val="10"/>
        <w:szCs w:val="10"/>
      </w:rPr>
      <w:fldChar w:fldCharType="separate"/>
    </w:r>
    <w:r w:rsidR="002D6E48">
      <w:rPr>
        <w:rFonts w:ascii="Times New Roman" w:hAnsi="Times New Roman" w:cs="Times New Roman"/>
        <w:noProof/>
        <w:sz w:val="10"/>
        <w:szCs w:val="10"/>
      </w:rPr>
      <w:t>S:\Mashburo\2025\Suddi\I senat\II koleg\24.docx</w:t>
    </w:r>
    <w:r w:rsidRPr="006B485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9366C" w14:textId="77777777" w:rsidR="004C58F6" w:rsidRDefault="004C58F6">
      <w:pPr>
        <w:spacing w:after="0" w:line="240" w:lineRule="auto"/>
      </w:pPr>
      <w:r>
        <w:separator/>
      </w:r>
    </w:p>
  </w:footnote>
  <w:footnote w:type="continuationSeparator" w:id="0">
    <w:p w14:paraId="2C0D06C7" w14:textId="77777777" w:rsidR="004C58F6" w:rsidRDefault="004C5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/>
    <w:sdtContent>
      <w:p w14:paraId="506B082F" w14:textId="6FA0E535" w:rsidR="003F4F3A" w:rsidRDefault="003F4F3A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6E48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33722"/>
    <w:multiLevelType w:val="hybridMultilevel"/>
    <w:tmpl w:val="4ADE9C80"/>
    <w:lvl w:ilvl="0" w:tplc="6424201C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2052F2B"/>
    <w:multiLevelType w:val="hybridMultilevel"/>
    <w:tmpl w:val="11544A60"/>
    <w:lvl w:ilvl="0" w:tplc="CD3AD74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16E"/>
    <w:rsid w:val="000229A8"/>
    <w:rsid w:val="00026DDC"/>
    <w:rsid w:val="000B22F9"/>
    <w:rsid w:val="000C0C20"/>
    <w:rsid w:val="0010161E"/>
    <w:rsid w:val="001065B2"/>
    <w:rsid w:val="00176893"/>
    <w:rsid w:val="001A287D"/>
    <w:rsid w:val="001C1360"/>
    <w:rsid w:val="002610F4"/>
    <w:rsid w:val="002A1334"/>
    <w:rsid w:val="002C133F"/>
    <w:rsid w:val="002D6E48"/>
    <w:rsid w:val="003838FB"/>
    <w:rsid w:val="00391565"/>
    <w:rsid w:val="003D37A5"/>
    <w:rsid w:val="003F4F3A"/>
    <w:rsid w:val="00471D8D"/>
    <w:rsid w:val="004C2BF6"/>
    <w:rsid w:val="004C58F6"/>
    <w:rsid w:val="004F5175"/>
    <w:rsid w:val="005248DF"/>
    <w:rsid w:val="00531156"/>
    <w:rsid w:val="005728BC"/>
    <w:rsid w:val="005C073C"/>
    <w:rsid w:val="005C3DC6"/>
    <w:rsid w:val="005D5DA6"/>
    <w:rsid w:val="005E7ED8"/>
    <w:rsid w:val="006A3C17"/>
    <w:rsid w:val="006B4859"/>
    <w:rsid w:val="006C0AB7"/>
    <w:rsid w:val="006D0D24"/>
    <w:rsid w:val="006D4A0C"/>
    <w:rsid w:val="0074016E"/>
    <w:rsid w:val="007C4192"/>
    <w:rsid w:val="007E0E62"/>
    <w:rsid w:val="00817DBC"/>
    <w:rsid w:val="00845C82"/>
    <w:rsid w:val="008524F0"/>
    <w:rsid w:val="008E7287"/>
    <w:rsid w:val="008E772C"/>
    <w:rsid w:val="00990EA2"/>
    <w:rsid w:val="009C035B"/>
    <w:rsid w:val="00A227B5"/>
    <w:rsid w:val="00A53157"/>
    <w:rsid w:val="00B63BAF"/>
    <w:rsid w:val="00BA636C"/>
    <w:rsid w:val="00C26F8B"/>
    <w:rsid w:val="00C472B3"/>
    <w:rsid w:val="00C73960"/>
    <w:rsid w:val="00CC645F"/>
    <w:rsid w:val="00D10703"/>
    <w:rsid w:val="00D27603"/>
    <w:rsid w:val="00D46B28"/>
    <w:rsid w:val="00D56AA3"/>
    <w:rsid w:val="00D847C0"/>
    <w:rsid w:val="00D90FE6"/>
    <w:rsid w:val="00DE2FE1"/>
    <w:rsid w:val="00DE4EC3"/>
    <w:rsid w:val="00ED57C7"/>
    <w:rsid w:val="00F67345"/>
    <w:rsid w:val="00FA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5A94"/>
  <w15:chartTrackingRefBased/>
  <w15:docId w15:val="{45A0E175-B34B-46A3-9AAA-5409CA36F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16E"/>
    <w:pPr>
      <w:suppressAutoHyphens/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1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1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1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1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1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1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1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1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1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1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1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1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40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40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401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1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1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1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401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16E"/>
    <w:rPr>
      <w:b/>
      <w:bCs/>
      <w:smallCaps/>
      <w:color w:val="2F5496" w:themeColor="accent1" w:themeShade="BF"/>
      <w:spacing w:val="5"/>
    </w:rPr>
  </w:style>
  <w:style w:type="character" w:customStyle="1" w:styleId="ae">
    <w:name w:val="Верхній колонтитул Знак"/>
    <w:basedOn w:val="a0"/>
    <w:link w:val="af"/>
    <w:qFormat/>
    <w:rsid w:val="0074016E"/>
  </w:style>
  <w:style w:type="paragraph" w:styleId="af">
    <w:name w:val="header"/>
    <w:basedOn w:val="a"/>
    <w:link w:val="ae"/>
    <w:unhideWhenUsed/>
    <w:rsid w:val="0074016E"/>
    <w:pPr>
      <w:tabs>
        <w:tab w:val="center" w:pos="4677"/>
        <w:tab w:val="right" w:pos="9355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11">
    <w:name w:val="Верхній колонтитул Знак1"/>
    <w:basedOn w:val="a0"/>
    <w:uiPriority w:val="99"/>
    <w:semiHidden/>
    <w:rsid w:val="0074016E"/>
    <w:rPr>
      <w:kern w:val="0"/>
      <w:sz w:val="22"/>
      <w:szCs w:val="22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1A2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1A287D"/>
    <w:rPr>
      <w:rFonts w:ascii="Segoe UI" w:hAnsi="Segoe UI" w:cs="Segoe UI"/>
      <w:kern w:val="0"/>
      <w:sz w:val="18"/>
      <w:szCs w:val="18"/>
      <w14:ligatures w14:val="none"/>
    </w:rPr>
  </w:style>
  <w:style w:type="table" w:styleId="af2">
    <w:name w:val="Table Grid"/>
    <w:basedOn w:val="a1"/>
    <w:uiPriority w:val="39"/>
    <w:rsid w:val="006B485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unhideWhenUsed/>
    <w:rsid w:val="006B485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6B485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B4B30-B507-4339-B74A-264F61D6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4631</Words>
  <Characters>2640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 Дорошенко</dc:creator>
  <cp:keywords/>
  <dc:description/>
  <cp:lastModifiedBy>Валентина М. Поліщук</cp:lastModifiedBy>
  <cp:revision>6</cp:revision>
  <cp:lastPrinted>2025-10-13T07:49:00Z</cp:lastPrinted>
  <dcterms:created xsi:type="dcterms:W3CDTF">2025-10-08T10:39:00Z</dcterms:created>
  <dcterms:modified xsi:type="dcterms:W3CDTF">2025-10-13T07:49:00Z</dcterms:modified>
</cp:coreProperties>
</file>