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90" w:rsidRDefault="00AF4990" w:rsidP="00AF49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990" w:rsidRDefault="00AF4990" w:rsidP="00AF49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990" w:rsidRDefault="00AF4990" w:rsidP="00AF49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990" w:rsidRDefault="00AF4990" w:rsidP="00AF49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990" w:rsidRDefault="00AF4990" w:rsidP="00AF49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990" w:rsidRDefault="00AF4990" w:rsidP="00AF49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990" w:rsidRDefault="00AF4990" w:rsidP="00AF49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AE5" w:rsidRPr="00AF4990" w:rsidRDefault="00F51AE5" w:rsidP="00AF4990">
      <w:pPr>
        <w:tabs>
          <w:tab w:val="center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відмову у відкритті конституційного провадження у справі за конституційною скаргою Ковальова Романа Юрійовича </w:t>
      </w:r>
      <w:r w:rsidRPr="00AF4990">
        <w:rPr>
          <w:rFonts w:ascii="Times New Roman" w:eastAsia="Calibri" w:hAnsi="Times New Roman" w:cs="Times New Roman"/>
          <w:b/>
          <w:sz w:val="28"/>
          <w:szCs w:val="28"/>
        </w:rPr>
        <w:t xml:space="preserve">щодо відповідності Конституції України (конституційності) пункту 2 частини першої статті 389 </w:t>
      </w:r>
      <w:r w:rsidR="00AF4990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AF499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F4990">
        <w:rPr>
          <w:rFonts w:ascii="Times New Roman" w:eastAsia="Calibri" w:hAnsi="Times New Roman" w:cs="Times New Roman"/>
          <w:b/>
          <w:sz w:val="28"/>
          <w:szCs w:val="28"/>
        </w:rPr>
        <w:t>Цивільного процесуального кодексу України</w:t>
      </w:r>
      <w:r w:rsidRPr="00AF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1AE5" w:rsidRPr="00AF4990" w:rsidRDefault="00F51AE5" w:rsidP="00AF4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E5" w:rsidRPr="00AF4990" w:rsidRDefault="00F51AE5" w:rsidP="00AF4990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9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ї в</w:t>
      </w:r>
      <w:r w:rsidRPr="00AF49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4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Справа № 3-192/2023(357/23)</w:t>
      </w:r>
    </w:p>
    <w:p w:rsidR="00F51AE5" w:rsidRPr="00AF4990" w:rsidRDefault="000E60EA" w:rsidP="00AF49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99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6 </w:t>
      </w:r>
      <w:r w:rsidR="00B7252F" w:rsidRPr="00AF4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грудня</w:t>
      </w:r>
      <w:r w:rsidR="00F51AE5" w:rsidRPr="00AF4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 року</w:t>
      </w:r>
    </w:p>
    <w:p w:rsidR="00F51AE5" w:rsidRPr="00AF4990" w:rsidRDefault="000E60EA" w:rsidP="00AF4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201</w:t>
      </w:r>
      <w:r w:rsidR="00F51AE5" w:rsidRPr="00AF4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-1(І)/2023</w:t>
      </w:r>
    </w:p>
    <w:p w:rsidR="00F51AE5" w:rsidRPr="00AF4990" w:rsidRDefault="00F51AE5" w:rsidP="00AF4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E5" w:rsidRPr="00AF4990" w:rsidRDefault="00F51AE5" w:rsidP="00AF4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Перша колегія суддів Першого сенату Конституційного Суду України у складі:</w:t>
      </w:r>
    </w:p>
    <w:p w:rsidR="00F51AE5" w:rsidRPr="00AF4990" w:rsidRDefault="00F51AE5" w:rsidP="00AF4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E5" w:rsidRPr="00AF4990" w:rsidRDefault="00F51AE5" w:rsidP="00AF4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Колісник Віктор Павлович (голова засідання, доповідач),</w:t>
      </w:r>
    </w:p>
    <w:p w:rsidR="00F51AE5" w:rsidRPr="00AF4990" w:rsidRDefault="00F51AE5" w:rsidP="00AF4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Кичун Віктор Іванович,</w:t>
      </w:r>
    </w:p>
    <w:p w:rsidR="00F51AE5" w:rsidRPr="00AF4990" w:rsidRDefault="00F51AE5" w:rsidP="00AF4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9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Філюк Петро Тодосьович,</w:t>
      </w:r>
    </w:p>
    <w:p w:rsidR="00F51AE5" w:rsidRPr="00AF4990" w:rsidRDefault="00F51AE5" w:rsidP="00AF4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E5" w:rsidRPr="00AF4990" w:rsidRDefault="00F51AE5" w:rsidP="00AF499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розглянула на засіданні питання про відкриття конституційного провадження у справі за конституційною скаргою Ковальова Романа Юрійовича щодо відповідності Конституції України (конституційності) </w:t>
      </w:r>
      <w:r w:rsidR="00AF4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 2</w:t>
      </w:r>
      <w:r w:rsidR="00AF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99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 першої статті 389 Цивільного процесуального кодексу України.</w:t>
      </w:r>
    </w:p>
    <w:p w:rsidR="00F51AE5" w:rsidRPr="00AF4990" w:rsidRDefault="00F51AE5" w:rsidP="00AF499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E5" w:rsidRPr="00AF4990" w:rsidRDefault="00F51AE5" w:rsidP="00AF499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Заслухавши суддю-доповідача Колісника В.П. та дослідивши матеріали справи, Перша колегія суддів Першого сенату Конституційного Суду України</w:t>
      </w:r>
    </w:p>
    <w:p w:rsidR="00F51AE5" w:rsidRPr="00AF4990" w:rsidRDefault="00F51AE5" w:rsidP="00AF499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E5" w:rsidRPr="00AF4990" w:rsidRDefault="00F51AE5" w:rsidP="00AF499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 а:</w:t>
      </w:r>
    </w:p>
    <w:p w:rsidR="00F51AE5" w:rsidRPr="00AF4990" w:rsidRDefault="00F51AE5" w:rsidP="00AF499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AE5" w:rsidRPr="00AF4990" w:rsidRDefault="00F51AE5" w:rsidP="00AF4990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Ковальов Р.Ю. звернувся </w:t>
      </w:r>
      <w:r w:rsidR="00AF4990">
        <w:rPr>
          <w:rFonts w:ascii="Times New Roman" w:eastAsia="Calibri" w:hAnsi="Times New Roman" w:cs="Times New Roman"/>
          <w:sz w:val="28"/>
          <w:szCs w:val="28"/>
          <w:lang w:eastAsia="ru-RU"/>
        </w:rPr>
        <w:t>до Конституційного Суду України</w:t>
      </w:r>
      <w:r w:rsidR="00AF499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>з клопотанням перевірити на відпові</w:t>
      </w:r>
      <w:r w:rsidR="00AF4990">
        <w:rPr>
          <w:rFonts w:ascii="Times New Roman" w:eastAsia="Calibri" w:hAnsi="Times New Roman" w:cs="Times New Roman"/>
          <w:sz w:val="28"/>
          <w:szCs w:val="28"/>
          <w:lang w:eastAsia="ru-RU"/>
        </w:rPr>
        <w:t>дність частині першій статті 8,</w:t>
      </w:r>
      <w:r w:rsidR="00AF499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частині </w:t>
      </w:r>
      <w:bookmarkStart w:id="0" w:name="_Hlk43278987"/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>другій статті 22</w:t>
      </w:r>
      <w:bookmarkEnd w:id="0"/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частині першій статті 24, частині першій статті 55, частині першій статті 64, пункту 8 частини </w:t>
      </w:r>
      <w:r w:rsidR="005F7D35"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>другої (за конституційною скаргою – частини першої)</w:t>
      </w:r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статті 129 Конституції України (конституційність) пункт 2 </w:t>
      </w:r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частини першої (за конституційною скаргою – частини другої) статті 389 Цивільного процесуального </w:t>
      </w:r>
      <w:r w:rsidR="005845E1"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>одексу України (далі – Кодекс).</w:t>
      </w:r>
    </w:p>
    <w:p w:rsidR="00F51AE5" w:rsidRPr="00AF4990" w:rsidRDefault="00F51AE5" w:rsidP="00AF49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 до пункту 2 частини першої статті 389 Кодексу учасники справи, а також особи, які не брали участі у справі, якщо суд вирішив питання про їхні права, свободи, інтереси та (або) обов’язки, мають право оскаржити у касаційному порядку</w:t>
      </w:r>
      <w:bookmarkStart w:id="1" w:name="n8797"/>
      <w:bookmarkStart w:id="2" w:name="n8798"/>
      <w:bookmarkEnd w:id="1"/>
      <w:bookmarkEnd w:id="2"/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F7D35" w:rsidRPr="00AF4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„</w:t>
      </w:r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>ухвали</w:t>
      </w:r>
      <w:r w:rsidR="005F7D35"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суду першої інстанції, вказані </w:t>
      </w:r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AF499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hyperlink r:id="rId6" w:anchor="n8529" w:history="1">
        <w:r w:rsidRPr="00AF499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пунктах 3</w:t>
        </w:r>
      </w:hyperlink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F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7" w:anchor="n8532" w:history="1">
        <w:r w:rsidRPr="00AF499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6</w:t>
        </w:r>
      </w:hyperlink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F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8" w:anchor="n8533" w:history="1">
        <w:r w:rsidRPr="00AF499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7</w:t>
        </w:r>
      </w:hyperlink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F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9" w:anchor="n8541" w:history="1">
        <w:r w:rsidRPr="00AF499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15</w:t>
        </w:r>
      </w:hyperlink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F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0" w:anchor="n8542" w:history="1">
        <w:r w:rsidRPr="00AF499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16</w:t>
        </w:r>
      </w:hyperlink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F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1" w:anchor="n8548" w:history="1">
        <w:r w:rsidRPr="00AF499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22</w:t>
        </w:r>
      </w:hyperlink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F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2" w:anchor="n8549" w:history="1">
        <w:r w:rsidRPr="00AF499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23</w:t>
        </w:r>
      </w:hyperlink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F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3" w:anchor="n8553" w:history="1">
        <w:r w:rsidRPr="00AF499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27</w:t>
        </w:r>
      </w:hyperlink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F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4" w:anchor="n8554" w:history="1">
        <w:r w:rsidRPr="00AF499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28</w:t>
        </w:r>
      </w:hyperlink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F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5" w:anchor="n8556" w:history="1">
        <w:r w:rsidRPr="00AF499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30</w:t>
        </w:r>
      </w:hyperlink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F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6" w:anchor="n8558" w:history="1">
        <w:r w:rsidRPr="00AF499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32</w:t>
        </w:r>
      </w:hyperlink>
      <w:r w:rsidR="00AF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>частини першої статті 353</w:t>
      </w:r>
      <w:r w:rsidR="005F7D35"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цього</w:t>
      </w:r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Кодексу, після їх перегляду в апеляційному порядку</w:t>
      </w:r>
      <w:r w:rsidR="005F7D35" w:rsidRPr="00AF4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“</w:t>
      </w:r>
      <w:r w:rsidRPr="00AF49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51AE5" w:rsidRPr="00AF4990" w:rsidRDefault="00F51AE5" w:rsidP="00AF49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1AE5" w:rsidRPr="00AF4990" w:rsidRDefault="00F51AE5" w:rsidP="00AF49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Розв’язуючи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F51AE5" w:rsidRPr="00AF4990" w:rsidRDefault="00F51AE5" w:rsidP="00AF49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Закону України „Про Конституційний Суд України“ конституційна скарга має містити</w:t>
      </w:r>
      <w:r w:rsidRPr="00AF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</w:t>
      </w:r>
      <w:r w:rsidRPr="00AF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умов її відповідності вимогам, передбаченим, зокрема, </w:t>
      </w:r>
      <w:r w:rsidRPr="00AF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статтею 55 цього закону (абзац перший частини першої статті 77); 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(частина четверта статті 77).</w:t>
      </w:r>
    </w:p>
    <w:p w:rsidR="00F51AE5" w:rsidRPr="00AF4990" w:rsidRDefault="00F51AE5" w:rsidP="00AF49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AF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 конституційної скарги вбачається, що автор клопотання</w:t>
      </w:r>
      <w:r w:rsidR="00AE07F1" w:rsidRPr="00AF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лише</w:t>
      </w:r>
      <w:r w:rsidRPr="00AF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висловив незгоду із судовими рішеннями, ухваленими у його справі. Однак такі твердження не можуть вважатися належним обґрунтування</w:t>
      </w:r>
      <w:r w:rsidR="00C15582" w:rsidRPr="00AF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неконституційності оспорюваного припису</w:t>
      </w:r>
      <w:r w:rsidRPr="00AF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4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Кодексу</w:t>
      </w:r>
      <w:r w:rsidRPr="00AF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51AE5" w:rsidRPr="00AF4990" w:rsidRDefault="00F51AE5" w:rsidP="00AF49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Отже, Ковальов Р.Ю. не дотримав вимог пункту 6 частини другої статті 55 Закону України </w:t>
      </w:r>
      <w:r w:rsidRPr="00AF4990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F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Конституційний Суд України</w:t>
      </w:r>
      <w:r w:rsidRPr="00AF499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F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є підставою для відмови </w:t>
      </w:r>
      <w:r w:rsidRPr="00AF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F51AE5" w:rsidRPr="00AF4990" w:rsidRDefault="00F51AE5" w:rsidP="00AF49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51AE5" w:rsidRPr="00AF4990" w:rsidRDefault="00F51AE5" w:rsidP="00AF49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F49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Ураховуючи викладене та керуючись статтями 147, 151</w:t>
      </w:r>
      <w:r w:rsidRPr="00AF49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1</w:t>
      </w:r>
      <w:r w:rsidRPr="00AF49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F51AE5" w:rsidRPr="00AF4990" w:rsidRDefault="00F51AE5" w:rsidP="00AF499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AE5" w:rsidRPr="00AF4990" w:rsidRDefault="00F51AE5" w:rsidP="00AF49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х в а л и л а:</w:t>
      </w:r>
    </w:p>
    <w:p w:rsidR="00F51AE5" w:rsidRPr="00AF4990" w:rsidRDefault="00F51AE5" w:rsidP="00AF499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AE5" w:rsidRDefault="00F51AE5" w:rsidP="00AF49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Відмовити у відкритті конституційного провадження у справі </w:t>
      </w:r>
      <w:r w:rsidRPr="00AF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конституційною скаргою </w:t>
      </w:r>
      <w:r w:rsidRPr="00AF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Ковальова Романа Ю</w:t>
      </w:r>
      <w:r w:rsidRPr="00AF499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рійовича щодо відповідності Конституції України (конституційності) пункту 2 частини першої статті 389 Цивільного процесуального кодексу України на підставі пункту 4 статті 62 Закону України „Про Конституційний Суд України“ –</w:t>
      </w:r>
      <w:r w:rsidRPr="00AF4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неприйнятність конституційної скарги.</w:t>
      </w:r>
    </w:p>
    <w:p w:rsidR="00AF4990" w:rsidRPr="00AF4990" w:rsidRDefault="00AF4990" w:rsidP="00AF49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E5" w:rsidRDefault="00F51AE5" w:rsidP="00AF499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Ухвала є остаточною.</w:t>
      </w:r>
    </w:p>
    <w:p w:rsidR="00AF4990" w:rsidRDefault="00AF4990" w:rsidP="00AF49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90" w:rsidRDefault="00AF4990" w:rsidP="00AF49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90" w:rsidRDefault="00AF4990" w:rsidP="00AF49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9E" w:rsidRPr="0075629E" w:rsidRDefault="0075629E" w:rsidP="0075629E">
      <w:pPr>
        <w:spacing w:after="0" w:line="240" w:lineRule="auto"/>
        <w:ind w:left="4254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3" w:name="_GoBack"/>
      <w:r w:rsidRPr="007562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Перша колегія суддів</w:t>
      </w:r>
    </w:p>
    <w:p w:rsidR="0075629E" w:rsidRPr="0075629E" w:rsidRDefault="0075629E" w:rsidP="0075629E">
      <w:pPr>
        <w:spacing w:after="0" w:line="240" w:lineRule="auto"/>
        <w:ind w:left="4254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562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Першого сенату</w:t>
      </w:r>
    </w:p>
    <w:p w:rsidR="00AF4990" w:rsidRPr="0075629E" w:rsidRDefault="0075629E" w:rsidP="0075629E">
      <w:pPr>
        <w:spacing w:after="0" w:line="240" w:lineRule="auto"/>
        <w:ind w:left="4254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562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Конституційного Суду України</w:t>
      </w:r>
      <w:bookmarkEnd w:id="3"/>
    </w:p>
    <w:sectPr w:rsidR="00AF4990" w:rsidRPr="0075629E" w:rsidSect="00AF4990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9F" w:rsidRDefault="00250F9F">
      <w:pPr>
        <w:spacing w:after="0" w:line="240" w:lineRule="auto"/>
      </w:pPr>
      <w:r>
        <w:separator/>
      </w:r>
    </w:p>
  </w:endnote>
  <w:endnote w:type="continuationSeparator" w:id="0">
    <w:p w:rsidR="00250F9F" w:rsidRDefault="0025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90" w:rsidRPr="00AF4990" w:rsidRDefault="00AF4990">
    <w:pPr>
      <w:pStyle w:val="a5"/>
      <w:rPr>
        <w:sz w:val="10"/>
        <w:szCs w:val="10"/>
      </w:rPr>
    </w:pPr>
    <w:r w:rsidRPr="00AF4990">
      <w:rPr>
        <w:sz w:val="10"/>
        <w:szCs w:val="10"/>
      </w:rPr>
      <w:fldChar w:fldCharType="begin"/>
    </w:r>
    <w:r w:rsidRPr="00AF4990">
      <w:rPr>
        <w:sz w:val="10"/>
        <w:szCs w:val="10"/>
      </w:rPr>
      <w:instrText xml:space="preserve"> FILENAME \p \* MERGEFORMAT </w:instrText>
    </w:r>
    <w:r w:rsidRPr="00AF4990">
      <w:rPr>
        <w:sz w:val="10"/>
        <w:szCs w:val="10"/>
      </w:rPr>
      <w:fldChar w:fldCharType="separate"/>
    </w:r>
    <w:r w:rsidR="0075629E">
      <w:rPr>
        <w:noProof/>
        <w:sz w:val="10"/>
        <w:szCs w:val="10"/>
      </w:rPr>
      <w:t>G:\2023\Suddi\I senat\I koleg\47.docx</w:t>
    </w:r>
    <w:r w:rsidRPr="00AF4990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90" w:rsidRPr="00AF4990" w:rsidRDefault="00AF4990">
    <w:pPr>
      <w:pStyle w:val="a5"/>
      <w:rPr>
        <w:sz w:val="10"/>
        <w:szCs w:val="10"/>
      </w:rPr>
    </w:pPr>
    <w:r w:rsidRPr="00AF4990">
      <w:rPr>
        <w:sz w:val="10"/>
        <w:szCs w:val="10"/>
      </w:rPr>
      <w:fldChar w:fldCharType="begin"/>
    </w:r>
    <w:r w:rsidRPr="00AF4990">
      <w:rPr>
        <w:sz w:val="10"/>
        <w:szCs w:val="10"/>
      </w:rPr>
      <w:instrText xml:space="preserve"> FILENAME \p \* MERGEFORMAT </w:instrText>
    </w:r>
    <w:r w:rsidRPr="00AF4990">
      <w:rPr>
        <w:sz w:val="10"/>
        <w:szCs w:val="10"/>
      </w:rPr>
      <w:fldChar w:fldCharType="separate"/>
    </w:r>
    <w:r w:rsidR="0075629E">
      <w:rPr>
        <w:noProof/>
        <w:sz w:val="10"/>
        <w:szCs w:val="10"/>
      </w:rPr>
      <w:t>G:\2023\Suddi\I senat\I koleg\47.docx</w:t>
    </w:r>
    <w:r w:rsidRPr="00AF4990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9F" w:rsidRDefault="00250F9F">
      <w:pPr>
        <w:spacing w:after="0" w:line="240" w:lineRule="auto"/>
      </w:pPr>
      <w:r>
        <w:separator/>
      </w:r>
    </w:p>
  </w:footnote>
  <w:footnote w:type="continuationSeparator" w:id="0">
    <w:p w:rsidR="00250F9F" w:rsidRDefault="0025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4710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F4990" w:rsidRPr="00AF4990" w:rsidRDefault="00AF4990">
        <w:pPr>
          <w:pStyle w:val="a3"/>
          <w:jc w:val="center"/>
          <w:rPr>
            <w:sz w:val="28"/>
            <w:szCs w:val="28"/>
          </w:rPr>
        </w:pPr>
        <w:r w:rsidRPr="00AF4990">
          <w:rPr>
            <w:sz w:val="28"/>
            <w:szCs w:val="28"/>
          </w:rPr>
          <w:fldChar w:fldCharType="begin"/>
        </w:r>
        <w:r w:rsidRPr="00AF4990">
          <w:rPr>
            <w:sz w:val="28"/>
            <w:szCs w:val="28"/>
          </w:rPr>
          <w:instrText>PAGE   \* MERGEFORMAT</w:instrText>
        </w:r>
        <w:r w:rsidRPr="00AF4990">
          <w:rPr>
            <w:sz w:val="28"/>
            <w:szCs w:val="28"/>
          </w:rPr>
          <w:fldChar w:fldCharType="separate"/>
        </w:r>
        <w:r w:rsidR="0075629E">
          <w:rPr>
            <w:noProof/>
            <w:sz w:val="28"/>
            <w:szCs w:val="28"/>
          </w:rPr>
          <w:t>3</w:t>
        </w:r>
        <w:r w:rsidRPr="00AF4990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90" w:rsidRDefault="00AF499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E5"/>
    <w:rsid w:val="000C5F6E"/>
    <w:rsid w:val="000E60EA"/>
    <w:rsid w:val="0010439C"/>
    <w:rsid w:val="00250F9F"/>
    <w:rsid w:val="00564134"/>
    <w:rsid w:val="005845E1"/>
    <w:rsid w:val="005F7D35"/>
    <w:rsid w:val="00734B48"/>
    <w:rsid w:val="0075629E"/>
    <w:rsid w:val="00783AFE"/>
    <w:rsid w:val="00AE07F1"/>
    <w:rsid w:val="00AF4990"/>
    <w:rsid w:val="00B7252F"/>
    <w:rsid w:val="00C15582"/>
    <w:rsid w:val="00E05AB9"/>
    <w:rsid w:val="00E64EC9"/>
    <w:rsid w:val="00F51AE5"/>
    <w:rsid w:val="00F57EA1"/>
    <w:rsid w:val="00FD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DD35"/>
  <w15:chartTrackingRefBased/>
  <w15:docId w15:val="{DFB31490-FEC0-41E4-AFE0-9893CB2C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4990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E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F51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51AE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ій колонтитул Знак"/>
    <w:basedOn w:val="a0"/>
    <w:link w:val="a5"/>
    <w:uiPriority w:val="99"/>
    <w:rsid w:val="00F51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49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F49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18-15" TargetMode="External"/><Relationship Id="rId13" Type="http://schemas.openxmlformats.org/officeDocument/2006/relationships/hyperlink" Target="https://zakon.rada.gov.ua/laws/show/1618-15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zakon.rada.gov.ua/laws/show/1618-15" TargetMode="External"/><Relationship Id="rId12" Type="http://schemas.openxmlformats.org/officeDocument/2006/relationships/hyperlink" Target="https://zakon.rada.gov.ua/laws/show/1618-15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1618-15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618-15" TargetMode="External"/><Relationship Id="rId11" Type="http://schemas.openxmlformats.org/officeDocument/2006/relationships/hyperlink" Target="https://zakon.rada.gov.ua/laws/show/1618-1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zakon.rada.gov.ua/laws/show/1618-15" TargetMode="External"/><Relationship Id="rId10" Type="http://schemas.openxmlformats.org/officeDocument/2006/relationships/hyperlink" Target="https://zakon.rada.gov.ua/laws/show/1618-15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1618-15" TargetMode="External"/><Relationship Id="rId14" Type="http://schemas.openxmlformats.org/officeDocument/2006/relationships/hyperlink" Target="https://zakon.rada.gov.ua/laws/show/1618-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3113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4</cp:revision>
  <cp:lastPrinted>2023-12-07T06:33:00Z</cp:lastPrinted>
  <dcterms:created xsi:type="dcterms:W3CDTF">2023-12-06T11:37:00Z</dcterms:created>
  <dcterms:modified xsi:type="dcterms:W3CDTF">2023-12-07T06:33:00Z</dcterms:modified>
</cp:coreProperties>
</file>