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3B94" w14:textId="1CEBF247" w:rsidR="0047011F" w:rsidRDefault="0047011F" w:rsidP="0047011F">
      <w:pPr>
        <w:spacing w:after="0" w:line="240" w:lineRule="auto"/>
        <w:jc w:val="both"/>
        <w:rPr>
          <w:rFonts w:ascii="Times New Roman" w:hAnsi="Times New Roman" w:cs="Times New Roman"/>
          <w:b/>
          <w:sz w:val="28"/>
          <w:szCs w:val="28"/>
          <w:lang w:val="ru-RU" w:eastAsia="ru-RU"/>
        </w:rPr>
      </w:pPr>
    </w:p>
    <w:p w14:paraId="48FADF92" w14:textId="77777777" w:rsidR="0047011F" w:rsidRDefault="0047011F" w:rsidP="0047011F">
      <w:pPr>
        <w:spacing w:after="0" w:line="240" w:lineRule="auto"/>
        <w:jc w:val="both"/>
        <w:rPr>
          <w:rFonts w:ascii="Times New Roman" w:hAnsi="Times New Roman" w:cs="Times New Roman"/>
          <w:b/>
          <w:sz w:val="28"/>
          <w:szCs w:val="28"/>
          <w:lang w:val="ru-RU" w:eastAsia="ru-RU"/>
        </w:rPr>
      </w:pPr>
    </w:p>
    <w:p w14:paraId="10A54A08" w14:textId="77777777" w:rsidR="0047011F" w:rsidRDefault="0047011F" w:rsidP="0047011F">
      <w:pPr>
        <w:spacing w:after="0" w:line="240" w:lineRule="auto"/>
        <w:jc w:val="both"/>
        <w:rPr>
          <w:rFonts w:ascii="Times New Roman" w:hAnsi="Times New Roman" w:cs="Times New Roman"/>
          <w:b/>
          <w:sz w:val="28"/>
          <w:szCs w:val="28"/>
          <w:lang w:val="ru-RU" w:eastAsia="ru-RU"/>
        </w:rPr>
      </w:pPr>
    </w:p>
    <w:p w14:paraId="6C78A124" w14:textId="77777777" w:rsidR="0047011F" w:rsidRDefault="0047011F" w:rsidP="0047011F">
      <w:pPr>
        <w:spacing w:after="0" w:line="240" w:lineRule="auto"/>
        <w:jc w:val="both"/>
        <w:rPr>
          <w:rFonts w:ascii="Times New Roman" w:hAnsi="Times New Roman" w:cs="Times New Roman"/>
          <w:b/>
          <w:sz w:val="28"/>
          <w:szCs w:val="28"/>
          <w:lang w:val="ru-RU" w:eastAsia="ru-RU"/>
        </w:rPr>
      </w:pPr>
    </w:p>
    <w:p w14:paraId="6D60B7DD" w14:textId="77777777" w:rsidR="0047011F" w:rsidRDefault="0047011F" w:rsidP="0047011F">
      <w:pPr>
        <w:spacing w:after="0" w:line="240" w:lineRule="auto"/>
        <w:jc w:val="both"/>
        <w:rPr>
          <w:rFonts w:ascii="Times New Roman" w:hAnsi="Times New Roman" w:cs="Times New Roman"/>
          <w:b/>
          <w:sz w:val="28"/>
          <w:szCs w:val="28"/>
          <w:lang w:val="ru-RU" w:eastAsia="ru-RU"/>
        </w:rPr>
      </w:pPr>
    </w:p>
    <w:p w14:paraId="246AA1A4" w14:textId="77777777" w:rsidR="0047011F" w:rsidRDefault="0047011F" w:rsidP="0047011F">
      <w:pPr>
        <w:spacing w:after="0" w:line="240" w:lineRule="auto"/>
        <w:jc w:val="both"/>
        <w:rPr>
          <w:rFonts w:ascii="Times New Roman" w:hAnsi="Times New Roman" w:cs="Times New Roman"/>
          <w:b/>
          <w:sz w:val="28"/>
          <w:szCs w:val="28"/>
          <w:lang w:val="ru-RU" w:eastAsia="ru-RU"/>
        </w:rPr>
      </w:pPr>
    </w:p>
    <w:p w14:paraId="3E32AB61" w14:textId="77777777" w:rsidR="0047011F" w:rsidRDefault="0047011F" w:rsidP="0047011F">
      <w:pPr>
        <w:spacing w:after="0" w:line="240" w:lineRule="auto"/>
        <w:jc w:val="both"/>
        <w:rPr>
          <w:rFonts w:ascii="Times New Roman" w:hAnsi="Times New Roman" w:cs="Times New Roman"/>
          <w:b/>
          <w:sz w:val="28"/>
          <w:szCs w:val="28"/>
          <w:lang w:val="ru-RU" w:eastAsia="ru-RU"/>
        </w:rPr>
      </w:pPr>
    </w:p>
    <w:p w14:paraId="01751670" w14:textId="4027DC47" w:rsidR="00772A07" w:rsidRPr="0047011F" w:rsidRDefault="00014EDE" w:rsidP="0047011F">
      <w:pPr>
        <w:tabs>
          <w:tab w:val="center" w:pos="4820"/>
        </w:tabs>
        <w:spacing w:after="0" w:line="240" w:lineRule="auto"/>
        <w:jc w:val="both"/>
        <w:rPr>
          <w:rFonts w:ascii="Times New Roman" w:hAnsi="Times New Roman" w:cs="Times New Roman"/>
          <w:b/>
          <w:sz w:val="28"/>
          <w:szCs w:val="28"/>
          <w:lang w:val="uk-UA" w:eastAsia="ru-RU"/>
        </w:rPr>
      </w:pPr>
      <w:r w:rsidRPr="0047011F">
        <w:rPr>
          <w:rFonts w:ascii="Times New Roman" w:hAnsi="Times New Roman" w:cs="Times New Roman"/>
          <w:b/>
          <w:sz w:val="28"/>
          <w:szCs w:val="28"/>
          <w:lang w:val="uk-UA" w:eastAsia="ru-RU"/>
        </w:rPr>
        <w:t xml:space="preserve">про відмову у відкритті конституційного провадження у справі за конституційною скаргою </w:t>
      </w:r>
      <w:r w:rsidR="009D007E" w:rsidRPr="0047011F">
        <w:rPr>
          <w:rFonts w:ascii="Times New Roman" w:hAnsi="Times New Roman" w:cs="Times New Roman"/>
          <w:b/>
          <w:sz w:val="28"/>
          <w:szCs w:val="28"/>
          <w:lang w:val="uk-UA" w:eastAsia="ru-RU"/>
        </w:rPr>
        <w:t>Товариства з обмеженою відповідальністю „Чорноморський рибний порт“ щодо відповідності Конституції України (конституційності) частин третьої, четвертої статті 5 Господарського процесуального кодексу України, підпункту 1 пункту 5 розділу І та</w:t>
      </w:r>
      <w:r w:rsidR="0047011F">
        <w:rPr>
          <w:rFonts w:ascii="Times New Roman" w:hAnsi="Times New Roman" w:cs="Times New Roman"/>
          <w:b/>
          <w:sz w:val="28"/>
          <w:szCs w:val="28"/>
          <w:lang w:val="uk-UA" w:eastAsia="ru-RU"/>
        </w:rPr>
        <w:br/>
      </w:r>
      <w:r w:rsidR="009D007E" w:rsidRPr="0047011F">
        <w:rPr>
          <w:rFonts w:ascii="Times New Roman" w:hAnsi="Times New Roman" w:cs="Times New Roman"/>
          <w:b/>
          <w:sz w:val="28"/>
          <w:szCs w:val="28"/>
          <w:lang w:val="uk-UA" w:eastAsia="ru-RU"/>
        </w:rPr>
        <w:t>пункту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діяльності“</w:t>
      </w:r>
      <w:r w:rsidR="0047011F">
        <w:rPr>
          <w:rFonts w:ascii="Times New Roman" w:hAnsi="Times New Roman" w:cs="Times New Roman"/>
          <w:b/>
          <w:sz w:val="28"/>
          <w:szCs w:val="28"/>
          <w:lang w:val="uk-UA" w:eastAsia="ru-RU"/>
        </w:rPr>
        <w:br/>
      </w:r>
      <w:r w:rsidR="0047011F">
        <w:rPr>
          <w:rFonts w:ascii="Times New Roman" w:hAnsi="Times New Roman" w:cs="Times New Roman"/>
          <w:b/>
          <w:sz w:val="28"/>
          <w:szCs w:val="28"/>
          <w:lang w:val="uk-UA" w:eastAsia="ru-RU"/>
        </w:rPr>
        <w:tab/>
      </w:r>
      <w:r w:rsidR="009D007E" w:rsidRPr="0047011F">
        <w:rPr>
          <w:rFonts w:ascii="Times New Roman" w:hAnsi="Times New Roman" w:cs="Times New Roman"/>
          <w:b/>
          <w:sz w:val="28"/>
          <w:szCs w:val="28"/>
          <w:lang w:val="uk-UA" w:eastAsia="ru-RU"/>
        </w:rPr>
        <w:t>від 13 травня 2020 року № 590–ІХ</w:t>
      </w:r>
    </w:p>
    <w:p w14:paraId="2F99AFA4" w14:textId="1774CFB4" w:rsidR="00014EDE" w:rsidRPr="0047011F" w:rsidRDefault="00014EDE" w:rsidP="0047011F">
      <w:pPr>
        <w:pStyle w:val="a3"/>
        <w:tabs>
          <w:tab w:val="clear" w:pos="4819"/>
          <w:tab w:val="clear" w:pos="9639"/>
        </w:tabs>
        <w:jc w:val="both"/>
        <w:rPr>
          <w:rFonts w:ascii="Times New Roman" w:hAnsi="Times New Roman"/>
          <w:color w:val="FF0000"/>
          <w:sz w:val="28"/>
          <w:szCs w:val="28"/>
          <w:lang w:eastAsia="uk-UA"/>
        </w:rPr>
      </w:pPr>
    </w:p>
    <w:p w14:paraId="35F3FB53" w14:textId="5E806E34" w:rsidR="00014EDE" w:rsidRPr="0047011F" w:rsidRDefault="00014EDE" w:rsidP="0047011F">
      <w:pPr>
        <w:pStyle w:val="a3"/>
        <w:tabs>
          <w:tab w:val="clear" w:pos="4819"/>
          <w:tab w:val="clear" w:pos="9639"/>
          <w:tab w:val="right" w:pos="9638"/>
        </w:tabs>
        <w:jc w:val="both"/>
        <w:rPr>
          <w:rFonts w:ascii="Times New Roman" w:hAnsi="Times New Roman"/>
          <w:sz w:val="28"/>
          <w:szCs w:val="28"/>
          <w:lang w:eastAsia="uk-UA"/>
        </w:rPr>
      </w:pPr>
      <w:r w:rsidRPr="0047011F">
        <w:rPr>
          <w:rFonts w:ascii="Times New Roman" w:hAnsi="Times New Roman"/>
          <w:sz w:val="28"/>
          <w:szCs w:val="28"/>
          <w:lang w:eastAsia="uk-UA"/>
        </w:rPr>
        <w:t>К и ї в</w:t>
      </w:r>
      <w:r w:rsidR="0047011F">
        <w:rPr>
          <w:rFonts w:ascii="Times New Roman" w:hAnsi="Times New Roman"/>
          <w:sz w:val="28"/>
          <w:szCs w:val="28"/>
          <w:lang w:eastAsia="uk-UA"/>
        </w:rPr>
        <w:tab/>
      </w:r>
      <w:r w:rsidR="005C2116" w:rsidRPr="0047011F">
        <w:rPr>
          <w:rFonts w:ascii="Times New Roman" w:hAnsi="Times New Roman"/>
          <w:sz w:val="28"/>
          <w:szCs w:val="28"/>
          <w:lang w:eastAsia="uk-UA"/>
        </w:rPr>
        <w:t xml:space="preserve">Справа № </w:t>
      </w:r>
      <w:r w:rsidR="009D007E" w:rsidRPr="0047011F">
        <w:rPr>
          <w:rFonts w:ascii="Times New Roman" w:hAnsi="Times New Roman"/>
          <w:sz w:val="28"/>
          <w:szCs w:val="28"/>
          <w:lang w:eastAsia="uk-UA"/>
        </w:rPr>
        <w:t>3-103/2025(208/25)</w:t>
      </w:r>
    </w:p>
    <w:p w14:paraId="6BFD6356" w14:textId="2DF0E94F" w:rsidR="00014EDE" w:rsidRPr="0047011F" w:rsidRDefault="0047011F" w:rsidP="0047011F">
      <w:pPr>
        <w:pStyle w:val="a3"/>
        <w:tabs>
          <w:tab w:val="clear" w:pos="4819"/>
          <w:tab w:val="clear" w:pos="9639"/>
        </w:tabs>
        <w:jc w:val="both"/>
        <w:rPr>
          <w:rFonts w:ascii="Times New Roman" w:hAnsi="Times New Roman"/>
          <w:sz w:val="28"/>
          <w:szCs w:val="28"/>
          <w:lang w:eastAsia="uk-UA"/>
        </w:rPr>
      </w:pPr>
      <w:r>
        <w:rPr>
          <w:rFonts w:ascii="Times New Roman" w:hAnsi="Times New Roman"/>
          <w:sz w:val="28"/>
          <w:szCs w:val="28"/>
          <w:lang w:eastAsia="uk-UA"/>
        </w:rPr>
        <w:t>5</w:t>
      </w:r>
      <w:r w:rsidR="003F1007" w:rsidRPr="0047011F">
        <w:rPr>
          <w:rFonts w:ascii="Times New Roman" w:hAnsi="Times New Roman"/>
          <w:sz w:val="28"/>
          <w:szCs w:val="28"/>
          <w:lang w:eastAsia="uk-UA"/>
        </w:rPr>
        <w:t xml:space="preserve"> листопада </w:t>
      </w:r>
      <w:r w:rsidR="00014EDE" w:rsidRPr="0047011F">
        <w:rPr>
          <w:rFonts w:ascii="Times New Roman" w:hAnsi="Times New Roman"/>
          <w:sz w:val="28"/>
          <w:szCs w:val="28"/>
          <w:lang w:eastAsia="uk-UA"/>
        </w:rPr>
        <w:t>202</w:t>
      </w:r>
      <w:r w:rsidR="003F1007" w:rsidRPr="0047011F">
        <w:rPr>
          <w:rFonts w:ascii="Times New Roman" w:hAnsi="Times New Roman"/>
          <w:sz w:val="28"/>
          <w:szCs w:val="28"/>
          <w:lang w:eastAsia="uk-UA"/>
        </w:rPr>
        <w:t>5</w:t>
      </w:r>
      <w:r w:rsidR="00014EDE" w:rsidRPr="0047011F">
        <w:rPr>
          <w:rFonts w:ascii="Times New Roman" w:hAnsi="Times New Roman"/>
          <w:sz w:val="28"/>
          <w:szCs w:val="28"/>
          <w:lang w:eastAsia="uk-UA"/>
        </w:rPr>
        <w:t xml:space="preserve"> року</w:t>
      </w:r>
    </w:p>
    <w:p w14:paraId="72D8BF51" w14:textId="1EE33B71" w:rsidR="00014EDE" w:rsidRPr="0047011F" w:rsidRDefault="00014EDE" w:rsidP="0047011F">
      <w:pPr>
        <w:pStyle w:val="a3"/>
        <w:tabs>
          <w:tab w:val="clear" w:pos="4819"/>
          <w:tab w:val="clear" w:pos="9639"/>
        </w:tabs>
        <w:jc w:val="both"/>
        <w:rPr>
          <w:rFonts w:ascii="Times New Roman" w:hAnsi="Times New Roman"/>
          <w:sz w:val="28"/>
          <w:szCs w:val="28"/>
          <w:lang w:eastAsia="uk-UA"/>
        </w:rPr>
      </w:pPr>
      <w:r w:rsidRPr="0047011F">
        <w:rPr>
          <w:rFonts w:ascii="Times New Roman" w:hAnsi="Times New Roman"/>
          <w:sz w:val="28"/>
          <w:szCs w:val="28"/>
          <w:lang w:eastAsia="uk-UA"/>
        </w:rPr>
        <w:t xml:space="preserve">№ </w:t>
      </w:r>
      <w:r w:rsidR="003F1007" w:rsidRPr="0047011F">
        <w:rPr>
          <w:rFonts w:ascii="Times New Roman" w:hAnsi="Times New Roman"/>
          <w:sz w:val="28"/>
          <w:szCs w:val="28"/>
          <w:lang w:eastAsia="uk-UA"/>
        </w:rPr>
        <w:t>201-</w:t>
      </w:r>
      <w:r w:rsidR="00CA384D" w:rsidRPr="0047011F">
        <w:rPr>
          <w:rFonts w:ascii="Times New Roman" w:hAnsi="Times New Roman"/>
          <w:sz w:val="28"/>
          <w:szCs w:val="28"/>
          <w:lang w:eastAsia="uk-UA"/>
        </w:rPr>
        <w:t>2(І)/202</w:t>
      </w:r>
      <w:r w:rsidR="00FD7039">
        <w:rPr>
          <w:rFonts w:ascii="Times New Roman" w:hAnsi="Times New Roman"/>
          <w:sz w:val="28"/>
          <w:szCs w:val="28"/>
          <w:lang w:eastAsia="uk-UA"/>
        </w:rPr>
        <w:t>5</w:t>
      </w:r>
      <w:bookmarkStart w:id="0" w:name="_GoBack"/>
      <w:bookmarkEnd w:id="0"/>
    </w:p>
    <w:p w14:paraId="003087FB" w14:textId="77777777" w:rsidR="00014EDE" w:rsidRPr="0047011F" w:rsidRDefault="00014EDE" w:rsidP="0047011F">
      <w:pPr>
        <w:pStyle w:val="a3"/>
        <w:tabs>
          <w:tab w:val="clear" w:pos="4819"/>
          <w:tab w:val="clear" w:pos="9639"/>
        </w:tabs>
        <w:jc w:val="both"/>
        <w:rPr>
          <w:rFonts w:ascii="Times New Roman" w:hAnsi="Times New Roman"/>
          <w:sz w:val="28"/>
          <w:szCs w:val="28"/>
          <w:lang w:eastAsia="uk-UA"/>
        </w:rPr>
      </w:pPr>
    </w:p>
    <w:p w14:paraId="60DD5DE8" w14:textId="77777777" w:rsidR="00014EDE" w:rsidRPr="0047011F" w:rsidRDefault="00014EDE" w:rsidP="0047011F">
      <w:pPr>
        <w:spacing w:after="0" w:line="240" w:lineRule="auto"/>
        <w:ind w:firstLine="567"/>
        <w:jc w:val="both"/>
        <w:rPr>
          <w:rFonts w:ascii="Times New Roman" w:eastAsia="Calibri" w:hAnsi="Times New Roman" w:cs="Times New Roman"/>
          <w:sz w:val="28"/>
          <w:szCs w:val="28"/>
          <w:lang w:val="uk-UA"/>
        </w:rPr>
      </w:pPr>
      <w:r w:rsidRPr="0047011F">
        <w:rPr>
          <w:rFonts w:ascii="Times New Roman" w:eastAsia="Calibri" w:hAnsi="Times New Roman" w:cs="Times New Roman"/>
          <w:sz w:val="28"/>
          <w:szCs w:val="28"/>
          <w:lang w:val="uk-UA"/>
        </w:rPr>
        <w:t>Друга колегія суддів Першого сенату Конституційного Суду України у складі:</w:t>
      </w:r>
    </w:p>
    <w:p w14:paraId="27687031" w14:textId="77777777" w:rsidR="00014EDE" w:rsidRPr="0047011F" w:rsidRDefault="00014EDE" w:rsidP="0047011F">
      <w:pPr>
        <w:pStyle w:val="a5"/>
        <w:shd w:val="clear" w:color="auto" w:fill="auto"/>
        <w:spacing w:line="240" w:lineRule="auto"/>
        <w:ind w:firstLine="567"/>
        <w:jc w:val="both"/>
        <w:rPr>
          <w:noProof w:val="0"/>
          <w:sz w:val="28"/>
          <w:szCs w:val="28"/>
        </w:rPr>
      </w:pPr>
    </w:p>
    <w:p w14:paraId="6CA4C0AB" w14:textId="77777777" w:rsidR="00014EDE" w:rsidRPr="0047011F" w:rsidRDefault="00014EDE" w:rsidP="0047011F">
      <w:pPr>
        <w:spacing w:after="0" w:line="240" w:lineRule="auto"/>
        <w:ind w:firstLine="567"/>
        <w:jc w:val="both"/>
        <w:rPr>
          <w:rFonts w:ascii="Times New Roman" w:eastAsia="Calibri" w:hAnsi="Times New Roman" w:cs="Times New Roman"/>
          <w:sz w:val="28"/>
          <w:szCs w:val="28"/>
          <w:lang w:val="uk-UA" w:eastAsia="uk-UA"/>
        </w:rPr>
      </w:pPr>
      <w:r w:rsidRPr="0047011F">
        <w:rPr>
          <w:rFonts w:ascii="Times New Roman" w:eastAsia="Calibri" w:hAnsi="Times New Roman" w:cs="Times New Roman"/>
          <w:sz w:val="28"/>
          <w:szCs w:val="28"/>
          <w:lang w:val="uk-UA" w:eastAsia="uk-UA"/>
        </w:rPr>
        <w:t>Грищук Оксани Вікторівни – головуючого, доповідача,</w:t>
      </w:r>
    </w:p>
    <w:p w14:paraId="07805B28" w14:textId="1481EF21" w:rsidR="00014EDE" w:rsidRPr="0047011F" w:rsidRDefault="009D007E" w:rsidP="0047011F">
      <w:pPr>
        <w:spacing w:after="0" w:line="240" w:lineRule="auto"/>
        <w:ind w:firstLine="567"/>
        <w:jc w:val="both"/>
        <w:rPr>
          <w:rFonts w:ascii="Times New Roman" w:eastAsia="Calibri" w:hAnsi="Times New Roman" w:cs="Times New Roman"/>
          <w:sz w:val="28"/>
          <w:szCs w:val="28"/>
          <w:lang w:val="uk-UA" w:eastAsia="uk-UA"/>
        </w:rPr>
      </w:pPr>
      <w:r w:rsidRPr="0047011F">
        <w:rPr>
          <w:rFonts w:ascii="Times New Roman" w:eastAsia="Calibri" w:hAnsi="Times New Roman" w:cs="Times New Roman"/>
          <w:sz w:val="28"/>
          <w:szCs w:val="28"/>
          <w:lang w:val="uk-UA" w:eastAsia="uk-UA"/>
        </w:rPr>
        <w:t>Барабаша Юрія Григоровича</w:t>
      </w:r>
      <w:r w:rsidR="00014EDE" w:rsidRPr="0047011F">
        <w:rPr>
          <w:rFonts w:ascii="Times New Roman" w:eastAsia="Calibri" w:hAnsi="Times New Roman" w:cs="Times New Roman"/>
          <w:sz w:val="28"/>
          <w:szCs w:val="28"/>
          <w:lang w:val="uk-UA" w:eastAsia="uk-UA"/>
        </w:rPr>
        <w:t>,</w:t>
      </w:r>
    </w:p>
    <w:p w14:paraId="6235CAE5" w14:textId="77777777" w:rsidR="00014EDE" w:rsidRPr="0047011F" w:rsidRDefault="00014EDE" w:rsidP="0047011F">
      <w:pPr>
        <w:spacing w:after="0" w:line="240" w:lineRule="auto"/>
        <w:ind w:firstLine="567"/>
        <w:jc w:val="both"/>
        <w:rPr>
          <w:rFonts w:ascii="Times New Roman" w:eastAsia="Calibri" w:hAnsi="Times New Roman" w:cs="Times New Roman"/>
          <w:sz w:val="28"/>
          <w:szCs w:val="28"/>
          <w:lang w:val="uk-UA" w:eastAsia="uk-UA"/>
        </w:rPr>
      </w:pPr>
      <w:proofErr w:type="spellStart"/>
      <w:r w:rsidRPr="0047011F">
        <w:rPr>
          <w:rFonts w:ascii="Times New Roman" w:eastAsia="Calibri" w:hAnsi="Times New Roman" w:cs="Times New Roman"/>
          <w:sz w:val="28"/>
          <w:szCs w:val="28"/>
          <w:lang w:val="uk-UA" w:eastAsia="uk-UA"/>
        </w:rPr>
        <w:t>Совгирі</w:t>
      </w:r>
      <w:proofErr w:type="spellEnd"/>
      <w:r w:rsidRPr="0047011F">
        <w:rPr>
          <w:rFonts w:ascii="Times New Roman" w:eastAsia="Calibri" w:hAnsi="Times New Roman" w:cs="Times New Roman"/>
          <w:sz w:val="28"/>
          <w:szCs w:val="28"/>
          <w:lang w:val="uk-UA" w:eastAsia="uk-UA"/>
        </w:rPr>
        <w:t xml:space="preserve"> Ольги Володимирівни,</w:t>
      </w:r>
    </w:p>
    <w:p w14:paraId="44B5AA54" w14:textId="77777777" w:rsidR="00014EDE" w:rsidRPr="0047011F" w:rsidRDefault="00014EDE" w:rsidP="0047011F">
      <w:pPr>
        <w:spacing w:after="0" w:line="240" w:lineRule="auto"/>
        <w:ind w:firstLine="567"/>
        <w:jc w:val="both"/>
        <w:rPr>
          <w:rFonts w:ascii="Times New Roman" w:eastAsia="Calibri" w:hAnsi="Times New Roman" w:cs="Times New Roman"/>
          <w:sz w:val="28"/>
          <w:szCs w:val="28"/>
          <w:lang w:val="uk-UA" w:eastAsia="uk-UA"/>
        </w:rPr>
      </w:pPr>
    </w:p>
    <w:p w14:paraId="08542B04" w14:textId="3E5226B9" w:rsidR="00014EDE" w:rsidRPr="0047011F" w:rsidRDefault="00014EDE" w:rsidP="0047011F">
      <w:pPr>
        <w:spacing w:after="0" w:line="360" w:lineRule="auto"/>
        <w:ind w:firstLine="567"/>
        <w:jc w:val="both"/>
        <w:rPr>
          <w:rFonts w:ascii="Times New Roman" w:hAnsi="Times New Roman" w:cs="Times New Roman"/>
          <w:sz w:val="28"/>
          <w:szCs w:val="28"/>
          <w:lang w:val="uk-UA" w:eastAsia="ru-RU"/>
        </w:rPr>
      </w:pPr>
      <w:r w:rsidRPr="0047011F">
        <w:rPr>
          <w:rFonts w:ascii="Times New Roman" w:hAnsi="Times New Roman" w:cs="Times New Roman"/>
          <w:sz w:val="28"/>
          <w:szCs w:val="28"/>
          <w:lang w:val="uk-UA"/>
        </w:rPr>
        <w:t xml:space="preserve">розглянула на засіданні питання про відкриття конституційного провадження у справі за конституційною скаргою </w:t>
      </w:r>
      <w:r w:rsidR="009D007E" w:rsidRPr="0047011F">
        <w:rPr>
          <w:rFonts w:ascii="Times New Roman" w:hAnsi="Times New Roman" w:cs="Times New Roman"/>
          <w:sz w:val="28"/>
          <w:szCs w:val="28"/>
          <w:lang w:val="uk-UA" w:eastAsia="ru-RU"/>
        </w:rPr>
        <w:t>Товариства з обмеженою відповідальністю „Чорноморський рибний порт“ щодо відповідності Конституції України (конституційності) частин третьої, четвертої статті 5 Господарського процесуального кодексу України, підпункту 1 пункту 5</w:t>
      </w:r>
      <w:r w:rsidR="0047011F">
        <w:rPr>
          <w:rFonts w:ascii="Times New Roman" w:hAnsi="Times New Roman" w:cs="Times New Roman"/>
          <w:sz w:val="28"/>
          <w:szCs w:val="28"/>
          <w:lang w:val="uk-UA" w:eastAsia="ru-RU"/>
        </w:rPr>
        <w:br/>
      </w:r>
      <w:r w:rsidR="009D007E" w:rsidRPr="0047011F">
        <w:rPr>
          <w:rFonts w:ascii="Times New Roman" w:hAnsi="Times New Roman" w:cs="Times New Roman"/>
          <w:sz w:val="28"/>
          <w:szCs w:val="28"/>
          <w:lang w:val="uk-UA" w:eastAsia="ru-RU"/>
        </w:rPr>
        <w:t>розділу І та пункту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діяльн</w:t>
      </w:r>
      <w:r w:rsidR="00235686" w:rsidRPr="0047011F">
        <w:rPr>
          <w:rFonts w:ascii="Times New Roman" w:hAnsi="Times New Roman" w:cs="Times New Roman"/>
          <w:sz w:val="28"/>
          <w:szCs w:val="28"/>
          <w:lang w:val="uk-UA" w:eastAsia="ru-RU"/>
        </w:rPr>
        <w:t>ості</w:t>
      </w:r>
      <w:r w:rsidR="009D007E" w:rsidRPr="0047011F">
        <w:rPr>
          <w:rFonts w:ascii="Times New Roman" w:hAnsi="Times New Roman" w:cs="Times New Roman"/>
          <w:sz w:val="28"/>
          <w:szCs w:val="28"/>
          <w:lang w:val="uk-UA" w:eastAsia="ru-RU"/>
        </w:rPr>
        <w:t>“ від 13 травня 2020 року № 590–ІХ</w:t>
      </w:r>
      <w:r w:rsidR="00125FA3" w:rsidRPr="0047011F">
        <w:rPr>
          <w:rFonts w:ascii="Times New Roman" w:hAnsi="Times New Roman" w:cs="Times New Roman"/>
          <w:sz w:val="28"/>
          <w:szCs w:val="28"/>
          <w:lang w:val="uk-UA"/>
        </w:rPr>
        <w:t xml:space="preserve"> </w:t>
      </w:r>
      <w:r w:rsidR="00125FA3" w:rsidRPr="0047011F">
        <w:rPr>
          <w:rFonts w:ascii="Times New Roman" w:hAnsi="Times New Roman" w:cs="Times New Roman"/>
          <w:sz w:val="28"/>
          <w:szCs w:val="28"/>
          <w:lang w:val="uk-UA" w:eastAsia="ru-RU"/>
        </w:rPr>
        <w:t>(Відомості Верховної Ради України, 2020 р., № 40,</w:t>
      </w:r>
      <w:r w:rsidR="00125FA3" w:rsidRPr="0047011F">
        <w:rPr>
          <w:rFonts w:ascii="Times New Roman" w:hAnsi="Times New Roman" w:cs="Times New Roman"/>
          <w:sz w:val="28"/>
          <w:szCs w:val="28"/>
          <w:lang w:val="uk-UA" w:eastAsia="ru-RU"/>
        </w:rPr>
        <w:br/>
        <w:t>ст. 314).</w:t>
      </w:r>
    </w:p>
    <w:p w14:paraId="2002EB68" w14:textId="77777777" w:rsidR="00014EDE" w:rsidRPr="0047011F" w:rsidRDefault="00014EDE" w:rsidP="0047011F">
      <w:pPr>
        <w:spacing w:after="0" w:line="360" w:lineRule="auto"/>
        <w:ind w:firstLine="567"/>
        <w:jc w:val="both"/>
        <w:rPr>
          <w:rFonts w:ascii="Times New Roman" w:hAnsi="Times New Roman" w:cs="Times New Roman"/>
          <w:sz w:val="28"/>
          <w:szCs w:val="28"/>
          <w:lang w:val="uk-UA"/>
        </w:rPr>
      </w:pPr>
    </w:p>
    <w:p w14:paraId="2B0DBC0A" w14:textId="77777777" w:rsidR="00014EDE" w:rsidRPr="0047011F" w:rsidRDefault="00014EDE"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sz w:val="28"/>
          <w:szCs w:val="28"/>
          <w:lang w:val="uk-UA"/>
        </w:rPr>
        <w:lastRenderedPageBreak/>
        <w:t>Заслухавши суддю-доповідача Грищук О.В. та дослідивши матеріали справи, Друга колегія суддів Першого сенату Конституційного Суду України</w:t>
      </w:r>
    </w:p>
    <w:p w14:paraId="48F39B82" w14:textId="77777777" w:rsidR="00014EDE" w:rsidRPr="0047011F" w:rsidRDefault="00014EDE" w:rsidP="0047011F">
      <w:pPr>
        <w:spacing w:after="0" w:line="360" w:lineRule="auto"/>
        <w:ind w:firstLine="567"/>
        <w:jc w:val="both"/>
        <w:rPr>
          <w:rFonts w:ascii="Times New Roman" w:hAnsi="Times New Roman" w:cs="Times New Roman"/>
          <w:sz w:val="28"/>
          <w:szCs w:val="28"/>
          <w:lang w:val="uk-UA"/>
        </w:rPr>
      </w:pPr>
    </w:p>
    <w:p w14:paraId="44A195D4" w14:textId="1B251D7D" w:rsidR="00014EDE" w:rsidRPr="0047011F" w:rsidRDefault="00014EDE" w:rsidP="0047011F">
      <w:pPr>
        <w:spacing w:after="0" w:line="360" w:lineRule="auto"/>
        <w:jc w:val="center"/>
        <w:rPr>
          <w:rFonts w:ascii="Times New Roman" w:hAnsi="Times New Roman" w:cs="Times New Roman"/>
          <w:b/>
          <w:bCs/>
          <w:sz w:val="28"/>
          <w:szCs w:val="28"/>
          <w:lang w:val="uk-UA"/>
        </w:rPr>
      </w:pPr>
      <w:r w:rsidRPr="0047011F">
        <w:rPr>
          <w:rFonts w:ascii="Times New Roman" w:hAnsi="Times New Roman" w:cs="Times New Roman"/>
          <w:b/>
          <w:bCs/>
          <w:sz w:val="28"/>
          <w:szCs w:val="28"/>
          <w:lang w:val="uk-UA"/>
        </w:rPr>
        <w:t>у с т а н о в и л а:</w:t>
      </w:r>
    </w:p>
    <w:p w14:paraId="79E90C90" w14:textId="77777777" w:rsidR="005C2116" w:rsidRPr="0047011F" w:rsidRDefault="005C2116" w:rsidP="0047011F">
      <w:pPr>
        <w:spacing w:after="0" w:line="360" w:lineRule="auto"/>
        <w:ind w:firstLine="567"/>
        <w:jc w:val="center"/>
        <w:rPr>
          <w:rFonts w:ascii="Times New Roman" w:hAnsi="Times New Roman" w:cs="Times New Roman"/>
          <w:b/>
          <w:bCs/>
          <w:sz w:val="28"/>
          <w:szCs w:val="28"/>
          <w:lang w:val="uk-UA"/>
        </w:rPr>
      </w:pPr>
    </w:p>
    <w:p w14:paraId="7D622741" w14:textId="704B51C4"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1. Товариство з обмеженою відповідальністю „Чорноморський рибний порт“ (далі – Товариство) звернулося до Конституційного Суду України з клопотанням перевірити на відповідність:</w:t>
      </w:r>
    </w:p>
    <w:p w14:paraId="2C00C4B0" w14:textId="761D2369"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 статтям 1, 3, частинам першій, другій статті 8, статті 21, частинам другій, третій статті 22, частинам першій, четвертій, п’ятій статті 41, частинам першій, другій статті 55, статті 64 Конституції України (конституційність)</w:t>
      </w:r>
      <w:r w:rsidR="0047011F">
        <w:rPr>
          <w:rFonts w:ascii="Times New Roman" w:hAnsi="Times New Roman" w:cs="Times New Roman"/>
          <w:bCs/>
          <w:sz w:val="28"/>
          <w:szCs w:val="28"/>
          <w:lang w:val="uk-UA" w:eastAsia="ru-RU"/>
        </w:rPr>
        <w:br/>
      </w:r>
      <w:r w:rsidRPr="0047011F">
        <w:rPr>
          <w:rFonts w:ascii="Times New Roman" w:hAnsi="Times New Roman" w:cs="Times New Roman"/>
          <w:bCs/>
          <w:sz w:val="28"/>
          <w:szCs w:val="28"/>
          <w:lang w:val="uk-UA" w:eastAsia="ru-RU"/>
        </w:rPr>
        <w:t>частини третю, четверту статті 5 Господарського процесуального кодексу України (далі – Кодекс), підпункт 1 пункту 5 розділу І Закону України „Про внесення змін до деяких законодавчих актів України щодо удосконалення механізмів регулювання банківської діяльн</w:t>
      </w:r>
      <w:r w:rsidR="00C816B6" w:rsidRPr="0047011F">
        <w:rPr>
          <w:rFonts w:ascii="Times New Roman" w:hAnsi="Times New Roman" w:cs="Times New Roman"/>
          <w:bCs/>
          <w:sz w:val="28"/>
          <w:szCs w:val="28"/>
          <w:lang w:val="uk-UA" w:eastAsia="ru-RU"/>
        </w:rPr>
        <w:t>ості“ від 13 травня 2020 року</w:t>
      </w:r>
      <w:r w:rsidR="0047011F">
        <w:rPr>
          <w:rFonts w:ascii="Times New Roman" w:hAnsi="Times New Roman" w:cs="Times New Roman"/>
          <w:bCs/>
          <w:sz w:val="28"/>
          <w:szCs w:val="28"/>
          <w:lang w:val="uk-UA" w:eastAsia="ru-RU"/>
        </w:rPr>
        <w:br/>
      </w:r>
      <w:r w:rsidR="00C816B6" w:rsidRPr="0047011F">
        <w:rPr>
          <w:rFonts w:ascii="Times New Roman" w:hAnsi="Times New Roman" w:cs="Times New Roman"/>
          <w:bCs/>
          <w:sz w:val="28"/>
          <w:szCs w:val="28"/>
          <w:lang w:val="uk-UA" w:eastAsia="ru-RU"/>
        </w:rPr>
        <w:t>№</w:t>
      </w:r>
      <w:r w:rsidR="0047011F">
        <w:rPr>
          <w:rFonts w:ascii="Times New Roman" w:hAnsi="Times New Roman" w:cs="Times New Roman"/>
          <w:bCs/>
          <w:sz w:val="28"/>
          <w:szCs w:val="28"/>
          <w:lang w:val="uk-UA" w:eastAsia="ru-RU"/>
        </w:rPr>
        <w:t xml:space="preserve"> </w:t>
      </w:r>
      <w:r w:rsidRPr="0047011F">
        <w:rPr>
          <w:rFonts w:ascii="Times New Roman" w:hAnsi="Times New Roman" w:cs="Times New Roman"/>
          <w:bCs/>
          <w:sz w:val="28"/>
          <w:szCs w:val="28"/>
          <w:lang w:val="uk-UA" w:eastAsia="ru-RU"/>
        </w:rPr>
        <w:t>590–ІХ (далі – Закон);</w:t>
      </w:r>
    </w:p>
    <w:p w14:paraId="3486544D" w14:textId="3B816729"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w:t>
      </w:r>
      <w:r w:rsidR="0047011F">
        <w:rPr>
          <w:rFonts w:ascii="Times New Roman" w:hAnsi="Times New Roman" w:cs="Times New Roman"/>
          <w:bCs/>
          <w:sz w:val="28"/>
          <w:szCs w:val="28"/>
          <w:lang w:val="uk-UA" w:eastAsia="ru-RU"/>
        </w:rPr>
        <w:t xml:space="preserve"> </w:t>
      </w:r>
      <w:r w:rsidRPr="0047011F">
        <w:rPr>
          <w:rFonts w:ascii="Times New Roman" w:hAnsi="Times New Roman" w:cs="Times New Roman"/>
          <w:bCs/>
          <w:sz w:val="28"/>
          <w:szCs w:val="28"/>
          <w:lang w:val="uk-UA" w:eastAsia="ru-RU"/>
        </w:rPr>
        <w:t>частині другій статті 6, частинам першій, другій статті 8, частинам першій, другій статті 55, статті 58, частині першій статті 126, частині першій статті 129 Конституції України (конституційність) пункт 7 розділу ІІ „Прикінцеві та перехідні положення“ Закону.</w:t>
      </w:r>
    </w:p>
    <w:p w14:paraId="205CE8F0" w14:textId="77777777"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Частинами третьою, четвертою статті 5 Кодексу встановлено, що:</w:t>
      </w:r>
    </w:p>
    <w:p w14:paraId="2761064C" w14:textId="77777777"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„3. Єдиним способом захисту прав осіб, які є (були) учасниками банку і права та інтереси яких були порушені внаслідок виведення неплатоспроможного банку з ринку або ліквідації банку на підставі протиправного (незаконного) індивідуального акта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рішення Кабінету Міністрів України, є відшкодування завданої шкоди у грошовій формі.</w:t>
      </w:r>
    </w:p>
    <w:p w14:paraId="503B538C" w14:textId="77777777"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 xml:space="preserve">4. Визнання протиправним (незаконним) індивідуального акта/рішення, зазначеного у частині третій цієї статті, не може бути підставою для застосування </w:t>
      </w:r>
      <w:r w:rsidRPr="0047011F">
        <w:rPr>
          <w:rFonts w:ascii="Times New Roman" w:hAnsi="Times New Roman" w:cs="Times New Roman"/>
          <w:bCs/>
          <w:sz w:val="28"/>
          <w:szCs w:val="28"/>
          <w:lang w:val="uk-UA" w:eastAsia="ru-RU"/>
        </w:rPr>
        <w:lastRenderedPageBreak/>
        <w:t>способів захисту у вигляді визнання недійсними, нечинними, протиправними та скасування будь-яких рішень, правочинів або інших дій/визнання протиправною бездіяльності, прийнятих, вчинених або допущених у процедурі виведення неплатоспроможного банку з ринку/ліквідації банку“.</w:t>
      </w:r>
    </w:p>
    <w:p w14:paraId="32DEDE0C" w14:textId="3326AF5C"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Підпункт 1 пункту 5 розділу І Закону за змістом збігається з</w:t>
      </w:r>
      <w:r w:rsidR="0047011F">
        <w:rPr>
          <w:rFonts w:ascii="Times New Roman" w:hAnsi="Times New Roman" w:cs="Times New Roman"/>
          <w:bCs/>
          <w:sz w:val="28"/>
          <w:szCs w:val="28"/>
          <w:lang w:val="uk-UA" w:eastAsia="ru-RU"/>
        </w:rPr>
        <w:br/>
      </w:r>
      <w:r w:rsidRPr="0047011F">
        <w:rPr>
          <w:rFonts w:ascii="Times New Roman" w:hAnsi="Times New Roman" w:cs="Times New Roman"/>
          <w:bCs/>
          <w:sz w:val="28"/>
          <w:szCs w:val="28"/>
          <w:lang w:val="uk-UA" w:eastAsia="ru-RU"/>
        </w:rPr>
        <w:t>частинами третьою, четвертою статті 5 Кодексу, оскільки статтю 5 Кодексу доповнено частинами третьою, четвертою згідно із Законом.</w:t>
      </w:r>
    </w:p>
    <w:p w14:paraId="06BA6187" w14:textId="77777777" w:rsidR="00967EFC" w:rsidRPr="0047011F" w:rsidRDefault="00967EFC"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Відповідно до пункту 7 розділу ІІ „Прикінцеві та перехідні положення“ Закону „судові провадження в господарських справах за позовом учасника та/або колишнього учасника банку про захист прав або інтересів, які були порушені внаслідок виведення банку з ринку на підставі протиправного (незаконного) індивідуального акта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рішення Кабінету Міністрів України, судовий розгляд яких станом на день набрання чинності цим Законом не завершений у судах першої, апеляційної або касаційної інстанцій шляхом ухвалення рішення (ухвали, постанови), у разі невідповідності обраних позивачем способів захисту вимогам частин третьої, четвертої статті 5 Господарського процесуального кодексу України підлягають закриттю у відповідній частині судом, який розглядає справу“.</w:t>
      </w:r>
    </w:p>
    <w:p w14:paraId="4CBB8048" w14:textId="39E5B18F" w:rsidR="00E34503" w:rsidRPr="0047011F" w:rsidRDefault="00E34503" w:rsidP="0047011F">
      <w:pPr>
        <w:spacing w:after="0" w:line="360" w:lineRule="auto"/>
        <w:ind w:firstLine="567"/>
        <w:jc w:val="both"/>
        <w:rPr>
          <w:rFonts w:ascii="Times New Roman" w:hAnsi="Times New Roman" w:cs="Times New Roman"/>
          <w:sz w:val="28"/>
          <w:szCs w:val="28"/>
          <w:lang w:val="uk-UA" w:eastAsia="ru-RU"/>
        </w:rPr>
      </w:pPr>
    </w:p>
    <w:p w14:paraId="664C80F5" w14:textId="2812CC78" w:rsidR="00DC21B1" w:rsidRPr="0047011F" w:rsidRDefault="00DC21B1"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 xml:space="preserve">2. Із аналізу конституційної скарги та долучених до неї матеріалів убачається таке. </w:t>
      </w:r>
    </w:p>
    <w:p w14:paraId="57F93B70" w14:textId="532F9CC7" w:rsidR="003D0A25" w:rsidRPr="0047011F" w:rsidRDefault="003D0A25"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Товариство звернулося до Господарського суду міста Києва з позовом до Міністерства фінансів України про визнання недійсним договору</w:t>
      </w:r>
      <w:r w:rsidR="0047011F">
        <w:rPr>
          <w:rFonts w:ascii="Times New Roman" w:hAnsi="Times New Roman" w:cs="Times New Roman"/>
          <w:bCs/>
          <w:sz w:val="28"/>
          <w:szCs w:val="28"/>
          <w:lang w:val="uk-UA" w:eastAsia="ru-RU"/>
        </w:rPr>
        <w:br/>
      </w:r>
      <w:r w:rsidRPr="0047011F">
        <w:rPr>
          <w:rFonts w:ascii="Times New Roman" w:hAnsi="Times New Roman" w:cs="Times New Roman"/>
          <w:bCs/>
          <w:sz w:val="28"/>
          <w:szCs w:val="28"/>
          <w:lang w:val="uk-UA" w:eastAsia="ru-RU"/>
        </w:rPr>
        <w:t>купівлі-продажу акцій та акта виконання зобов’</w:t>
      </w:r>
      <w:r w:rsidR="00125FA3" w:rsidRPr="0047011F">
        <w:rPr>
          <w:rFonts w:ascii="Times New Roman" w:hAnsi="Times New Roman" w:cs="Times New Roman"/>
          <w:bCs/>
          <w:sz w:val="28"/>
          <w:szCs w:val="28"/>
          <w:lang w:val="uk-UA" w:eastAsia="ru-RU"/>
        </w:rPr>
        <w:t>язань щодо нього</w:t>
      </w:r>
      <w:r w:rsidRPr="0047011F">
        <w:rPr>
          <w:rFonts w:ascii="Times New Roman" w:hAnsi="Times New Roman" w:cs="Times New Roman"/>
          <w:bCs/>
          <w:sz w:val="28"/>
          <w:szCs w:val="28"/>
          <w:lang w:val="uk-UA" w:eastAsia="ru-RU"/>
        </w:rPr>
        <w:t xml:space="preserve">. </w:t>
      </w:r>
    </w:p>
    <w:p w14:paraId="55BD8A6C" w14:textId="6FBCF89F" w:rsidR="00EE3019" w:rsidRPr="0047011F" w:rsidRDefault="00C35A53" w:rsidP="0047011F">
      <w:pPr>
        <w:spacing w:after="0" w:line="360"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 xml:space="preserve">Господарський суд міста Києва ухвалою від 4 грудня 2024 року, залишеною без змін </w:t>
      </w:r>
      <w:r w:rsidR="004F4BE9">
        <w:rPr>
          <w:rFonts w:ascii="Times New Roman" w:hAnsi="Times New Roman" w:cs="Times New Roman"/>
          <w:bCs/>
          <w:sz w:val="28"/>
          <w:szCs w:val="28"/>
          <w:lang w:val="uk-UA" w:eastAsia="ru-RU"/>
        </w:rPr>
        <w:t>п</w:t>
      </w:r>
      <w:r w:rsidRPr="0047011F">
        <w:rPr>
          <w:rFonts w:ascii="Times New Roman" w:hAnsi="Times New Roman" w:cs="Times New Roman"/>
          <w:bCs/>
          <w:sz w:val="28"/>
          <w:szCs w:val="28"/>
          <w:lang w:val="uk-UA" w:eastAsia="ru-RU"/>
        </w:rPr>
        <w:t>остановою Північного апеляційного господарського суду</w:t>
      </w:r>
      <w:r w:rsidR="0047011F">
        <w:rPr>
          <w:rFonts w:ascii="Times New Roman" w:hAnsi="Times New Roman" w:cs="Times New Roman"/>
          <w:bCs/>
          <w:sz w:val="28"/>
          <w:szCs w:val="28"/>
          <w:lang w:val="uk-UA" w:eastAsia="ru-RU"/>
        </w:rPr>
        <w:br/>
      </w:r>
      <w:r w:rsidRPr="0047011F">
        <w:rPr>
          <w:rFonts w:ascii="Times New Roman" w:hAnsi="Times New Roman" w:cs="Times New Roman"/>
          <w:bCs/>
          <w:sz w:val="28"/>
          <w:szCs w:val="28"/>
          <w:lang w:val="uk-UA" w:eastAsia="ru-RU"/>
        </w:rPr>
        <w:t>від 17 лютого 2025 року, закрив провадження у справі на підставі</w:t>
      </w:r>
      <w:r w:rsidR="0047011F">
        <w:rPr>
          <w:rFonts w:ascii="Times New Roman" w:hAnsi="Times New Roman" w:cs="Times New Roman"/>
          <w:bCs/>
          <w:sz w:val="28"/>
          <w:szCs w:val="28"/>
          <w:lang w:val="uk-UA" w:eastAsia="ru-RU"/>
        </w:rPr>
        <w:t xml:space="preserve"> </w:t>
      </w:r>
      <w:r w:rsidRPr="0047011F">
        <w:rPr>
          <w:rFonts w:ascii="Times New Roman" w:hAnsi="Times New Roman" w:cs="Times New Roman"/>
          <w:bCs/>
          <w:sz w:val="28"/>
          <w:szCs w:val="28"/>
          <w:lang w:val="uk-UA" w:eastAsia="ru-RU"/>
        </w:rPr>
        <w:t>пункту 7 розділу II „Прикінцеві та пере</w:t>
      </w:r>
      <w:r w:rsidR="00EE3019" w:rsidRPr="0047011F">
        <w:rPr>
          <w:rFonts w:ascii="Times New Roman" w:hAnsi="Times New Roman" w:cs="Times New Roman"/>
          <w:bCs/>
          <w:sz w:val="28"/>
          <w:szCs w:val="28"/>
          <w:lang w:val="uk-UA" w:eastAsia="ru-RU"/>
        </w:rPr>
        <w:t xml:space="preserve">хідні положення“ Закону. </w:t>
      </w:r>
    </w:p>
    <w:p w14:paraId="25C18591" w14:textId="4D6CDEAB" w:rsidR="00137AC3" w:rsidRPr="0047011F" w:rsidRDefault="00C35A53" w:rsidP="00212054">
      <w:pPr>
        <w:spacing w:after="0" w:line="372"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lastRenderedPageBreak/>
        <w:t>Верховний Суд у складі колегії суддів Касаційного госпо</w:t>
      </w:r>
      <w:r w:rsidR="00EE3019" w:rsidRPr="0047011F">
        <w:rPr>
          <w:rFonts w:ascii="Times New Roman" w:hAnsi="Times New Roman" w:cs="Times New Roman"/>
          <w:bCs/>
          <w:sz w:val="28"/>
          <w:szCs w:val="28"/>
          <w:lang w:val="uk-UA" w:eastAsia="ru-RU"/>
        </w:rPr>
        <w:t>дарського суду постановою від 15 квітня</w:t>
      </w:r>
      <w:r w:rsidRPr="0047011F">
        <w:rPr>
          <w:rFonts w:ascii="Times New Roman" w:hAnsi="Times New Roman" w:cs="Times New Roman"/>
          <w:bCs/>
          <w:sz w:val="28"/>
          <w:szCs w:val="28"/>
          <w:lang w:val="uk-UA" w:eastAsia="ru-RU"/>
        </w:rPr>
        <w:t xml:space="preserve"> </w:t>
      </w:r>
      <w:r w:rsidR="00EE3019" w:rsidRPr="0047011F">
        <w:rPr>
          <w:rFonts w:ascii="Times New Roman" w:hAnsi="Times New Roman" w:cs="Times New Roman"/>
          <w:bCs/>
          <w:sz w:val="28"/>
          <w:szCs w:val="28"/>
          <w:lang w:val="uk-UA" w:eastAsia="ru-RU"/>
        </w:rPr>
        <w:t>2025</w:t>
      </w:r>
      <w:r w:rsidRPr="0047011F">
        <w:rPr>
          <w:rFonts w:ascii="Times New Roman" w:hAnsi="Times New Roman" w:cs="Times New Roman"/>
          <w:bCs/>
          <w:sz w:val="28"/>
          <w:szCs w:val="28"/>
          <w:lang w:val="uk-UA" w:eastAsia="ru-RU"/>
        </w:rPr>
        <w:t xml:space="preserve"> року залишив без задоволення касаційну скаргу Товариства, а </w:t>
      </w:r>
      <w:r w:rsidR="008C01AF">
        <w:rPr>
          <w:rFonts w:ascii="Times New Roman" w:hAnsi="Times New Roman" w:cs="Times New Roman"/>
          <w:bCs/>
          <w:sz w:val="28"/>
          <w:szCs w:val="28"/>
          <w:lang w:val="uk-UA" w:eastAsia="ru-RU"/>
        </w:rPr>
        <w:t>рішення господарських судів першої та апеляційної інстанції – без змін</w:t>
      </w:r>
      <w:r w:rsidR="00477815" w:rsidRPr="0047011F">
        <w:rPr>
          <w:rFonts w:ascii="Times New Roman" w:hAnsi="Times New Roman" w:cs="Times New Roman"/>
          <w:bCs/>
          <w:sz w:val="28"/>
          <w:szCs w:val="28"/>
          <w:lang w:val="uk-UA" w:eastAsia="ru-RU"/>
        </w:rPr>
        <w:t xml:space="preserve">. </w:t>
      </w:r>
      <w:r w:rsidR="00320F35" w:rsidRPr="0047011F">
        <w:rPr>
          <w:rFonts w:ascii="Times New Roman" w:hAnsi="Times New Roman" w:cs="Times New Roman"/>
          <w:bCs/>
          <w:sz w:val="28"/>
          <w:szCs w:val="28"/>
          <w:lang w:val="uk-UA" w:eastAsia="ru-RU"/>
        </w:rPr>
        <w:t>Верховний Суд зазначив</w:t>
      </w:r>
      <w:r w:rsidR="00EE3019" w:rsidRPr="0047011F">
        <w:rPr>
          <w:rFonts w:ascii="Times New Roman" w:hAnsi="Times New Roman" w:cs="Times New Roman"/>
          <w:bCs/>
          <w:sz w:val="28"/>
          <w:szCs w:val="28"/>
          <w:lang w:val="uk-UA" w:eastAsia="ru-RU"/>
        </w:rPr>
        <w:t xml:space="preserve">, що спірний </w:t>
      </w:r>
      <w:r w:rsidR="003D0A25" w:rsidRPr="0047011F">
        <w:rPr>
          <w:rFonts w:ascii="Times New Roman" w:hAnsi="Times New Roman" w:cs="Times New Roman"/>
          <w:bCs/>
          <w:sz w:val="28"/>
          <w:szCs w:val="28"/>
          <w:lang w:val="uk-UA" w:eastAsia="ru-RU"/>
        </w:rPr>
        <w:t xml:space="preserve">договір </w:t>
      </w:r>
      <w:r w:rsidR="00125FA3" w:rsidRPr="0047011F">
        <w:rPr>
          <w:rFonts w:ascii="Times New Roman" w:hAnsi="Times New Roman" w:cs="Times New Roman"/>
          <w:bCs/>
          <w:sz w:val="28"/>
          <w:szCs w:val="28"/>
          <w:lang w:val="uk-UA" w:eastAsia="ru-RU"/>
        </w:rPr>
        <w:t>укладено</w:t>
      </w:r>
      <w:r w:rsidR="003D0A25" w:rsidRPr="0047011F">
        <w:rPr>
          <w:rFonts w:ascii="Times New Roman" w:hAnsi="Times New Roman" w:cs="Times New Roman"/>
          <w:bCs/>
          <w:sz w:val="28"/>
          <w:szCs w:val="28"/>
          <w:lang w:val="uk-UA" w:eastAsia="ru-RU"/>
        </w:rPr>
        <w:t xml:space="preserve"> відповідно до актів Кабінету Міністрів України та виконавчої дирекці</w:t>
      </w:r>
      <w:r w:rsidR="00EE3019" w:rsidRPr="0047011F">
        <w:rPr>
          <w:rFonts w:ascii="Times New Roman" w:hAnsi="Times New Roman" w:cs="Times New Roman"/>
          <w:bCs/>
          <w:sz w:val="28"/>
          <w:szCs w:val="28"/>
          <w:lang w:val="uk-UA" w:eastAsia="ru-RU"/>
        </w:rPr>
        <w:t xml:space="preserve">ї </w:t>
      </w:r>
      <w:r w:rsidR="00125FA3" w:rsidRPr="0047011F">
        <w:rPr>
          <w:rFonts w:ascii="Times New Roman" w:hAnsi="Times New Roman" w:cs="Times New Roman"/>
          <w:bCs/>
          <w:sz w:val="28"/>
          <w:szCs w:val="28"/>
          <w:lang w:val="uk-UA" w:eastAsia="ru-RU"/>
        </w:rPr>
        <w:t>Фонду гарантування вкладів фізичних осіб</w:t>
      </w:r>
      <w:r w:rsidR="003D0A25" w:rsidRPr="0047011F">
        <w:rPr>
          <w:rFonts w:ascii="Times New Roman" w:hAnsi="Times New Roman" w:cs="Times New Roman"/>
          <w:bCs/>
          <w:sz w:val="28"/>
          <w:szCs w:val="28"/>
          <w:lang w:val="uk-UA" w:eastAsia="ru-RU"/>
        </w:rPr>
        <w:t xml:space="preserve">, </w:t>
      </w:r>
      <w:r w:rsidR="00125FA3" w:rsidRPr="0047011F">
        <w:rPr>
          <w:rFonts w:ascii="Times New Roman" w:hAnsi="Times New Roman" w:cs="Times New Roman"/>
          <w:bCs/>
          <w:sz w:val="28"/>
          <w:szCs w:val="28"/>
          <w:lang w:val="uk-UA" w:eastAsia="ru-RU"/>
        </w:rPr>
        <w:t>ухвалених у</w:t>
      </w:r>
      <w:r w:rsidR="00320F35" w:rsidRPr="0047011F">
        <w:rPr>
          <w:rFonts w:ascii="Times New Roman" w:hAnsi="Times New Roman" w:cs="Times New Roman"/>
          <w:bCs/>
          <w:sz w:val="28"/>
          <w:szCs w:val="28"/>
          <w:lang w:val="uk-UA" w:eastAsia="ru-RU"/>
        </w:rPr>
        <w:t xml:space="preserve"> порядку</w:t>
      </w:r>
      <w:r w:rsidR="008C01AF">
        <w:rPr>
          <w:rFonts w:ascii="Times New Roman" w:hAnsi="Times New Roman" w:cs="Times New Roman"/>
          <w:bCs/>
          <w:sz w:val="28"/>
          <w:szCs w:val="28"/>
          <w:lang w:val="uk-UA" w:eastAsia="ru-RU"/>
        </w:rPr>
        <w:t xml:space="preserve"> </w:t>
      </w:r>
      <w:r w:rsidR="00320F35" w:rsidRPr="0047011F">
        <w:rPr>
          <w:rFonts w:ascii="Times New Roman" w:hAnsi="Times New Roman" w:cs="Times New Roman"/>
          <w:bCs/>
          <w:sz w:val="28"/>
          <w:szCs w:val="28"/>
          <w:lang w:val="uk-UA" w:eastAsia="ru-RU"/>
        </w:rPr>
        <w:t>статей 39, 40, 41, 41</w:t>
      </w:r>
      <w:r w:rsidR="003D0A25" w:rsidRPr="0047011F">
        <w:rPr>
          <w:rFonts w:ascii="Times New Roman" w:hAnsi="Times New Roman" w:cs="Times New Roman"/>
          <w:bCs/>
          <w:sz w:val="28"/>
          <w:szCs w:val="28"/>
          <w:vertAlign w:val="superscript"/>
          <w:lang w:val="uk-UA" w:eastAsia="ru-RU"/>
        </w:rPr>
        <w:t>1</w:t>
      </w:r>
      <w:r w:rsidR="003D0A25" w:rsidRPr="0047011F">
        <w:rPr>
          <w:rFonts w:ascii="Times New Roman" w:hAnsi="Times New Roman" w:cs="Times New Roman"/>
          <w:bCs/>
          <w:sz w:val="28"/>
          <w:szCs w:val="28"/>
          <w:lang w:val="uk-UA" w:eastAsia="ru-RU"/>
        </w:rPr>
        <w:t xml:space="preserve"> Закону Укр</w:t>
      </w:r>
      <w:r w:rsidR="00EE3019" w:rsidRPr="0047011F">
        <w:rPr>
          <w:rFonts w:ascii="Times New Roman" w:hAnsi="Times New Roman" w:cs="Times New Roman"/>
          <w:bCs/>
          <w:sz w:val="28"/>
          <w:szCs w:val="28"/>
          <w:lang w:val="uk-UA" w:eastAsia="ru-RU"/>
        </w:rPr>
        <w:t xml:space="preserve">аїни </w:t>
      </w:r>
      <w:r w:rsidR="00320F35" w:rsidRPr="0047011F">
        <w:rPr>
          <w:rFonts w:ascii="Times New Roman" w:hAnsi="Times New Roman" w:cs="Times New Roman"/>
          <w:bCs/>
          <w:sz w:val="28"/>
          <w:szCs w:val="28"/>
          <w:lang w:val="uk-UA" w:eastAsia="ru-RU"/>
        </w:rPr>
        <w:t>„</w:t>
      </w:r>
      <w:r w:rsidR="00EE3019" w:rsidRPr="0047011F">
        <w:rPr>
          <w:rFonts w:ascii="Times New Roman" w:hAnsi="Times New Roman" w:cs="Times New Roman"/>
          <w:bCs/>
          <w:sz w:val="28"/>
          <w:szCs w:val="28"/>
          <w:lang w:val="uk-UA" w:eastAsia="ru-RU"/>
        </w:rPr>
        <w:t xml:space="preserve">Про систему гарантування </w:t>
      </w:r>
      <w:r w:rsidR="003D0A25" w:rsidRPr="0047011F">
        <w:rPr>
          <w:rFonts w:ascii="Times New Roman" w:hAnsi="Times New Roman" w:cs="Times New Roman"/>
          <w:bCs/>
          <w:sz w:val="28"/>
          <w:szCs w:val="28"/>
          <w:lang w:val="uk-UA" w:eastAsia="ru-RU"/>
        </w:rPr>
        <w:t>вкладів фізичних осіб</w:t>
      </w:r>
      <w:r w:rsidR="00320F35" w:rsidRPr="0047011F">
        <w:rPr>
          <w:rFonts w:ascii="Times New Roman" w:hAnsi="Times New Roman" w:cs="Times New Roman"/>
          <w:bCs/>
          <w:sz w:val="28"/>
          <w:szCs w:val="28"/>
          <w:lang w:val="uk-UA" w:eastAsia="ru-RU"/>
        </w:rPr>
        <w:t>“</w:t>
      </w:r>
      <w:r w:rsidR="003D0A25" w:rsidRPr="0047011F">
        <w:rPr>
          <w:rFonts w:ascii="Times New Roman" w:hAnsi="Times New Roman" w:cs="Times New Roman"/>
          <w:bCs/>
          <w:sz w:val="28"/>
          <w:szCs w:val="28"/>
          <w:lang w:val="uk-UA" w:eastAsia="ru-RU"/>
        </w:rPr>
        <w:t xml:space="preserve"> від 23 лютого 2012 року</w:t>
      </w:r>
      <w:r w:rsidR="008C01AF">
        <w:rPr>
          <w:rFonts w:ascii="Times New Roman" w:hAnsi="Times New Roman" w:cs="Times New Roman"/>
          <w:bCs/>
          <w:sz w:val="28"/>
          <w:szCs w:val="28"/>
          <w:lang w:val="uk-UA" w:eastAsia="ru-RU"/>
        </w:rPr>
        <w:br/>
      </w:r>
      <w:r w:rsidR="003D0A25" w:rsidRPr="0047011F">
        <w:rPr>
          <w:rFonts w:ascii="Times New Roman" w:hAnsi="Times New Roman" w:cs="Times New Roman"/>
          <w:bCs/>
          <w:sz w:val="28"/>
          <w:szCs w:val="28"/>
          <w:lang w:val="uk-UA" w:eastAsia="ru-RU"/>
        </w:rPr>
        <w:t>№ 4452</w:t>
      </w:r>
      <w:r w:rsidR="00C816B6" w:rsidRPr="0047011F">
        <w:rPr>
          <w:rFonts w:ascii="Times New Roman" w:hAnsi="Times New Roman" w:cs="Times New Roman"/>
          <w:bCs/>
          <w:sz w:val="28"/>
          <w:szCs w:val="28"/>
          <w:lang w:val="uk-UA" w:eastAsia="ru-RU"/>
        </w:rPr>
        <w:t>–</w:t>
      </w:r>
      <w:r w:rsidR="00EE3019" w:rsidRPr="0047011F">
        <w:rPr>
          <w:rFonts w:ascii="Times New Roman" w:hAnsi="Times New Roman" w:cs="Times New Roman"/>
          <w:bCs/>
          <w:sz w:val="28"/>
          <w:szCs w:val="28"/>
          <w:lang w:val="uk-UA" w:eastAsia="ru-RU"/>
        </w:rPr>
        <w:t>VI</w:t>
      </w:r>
      <w:r w:rsidR="00572A0A">
        <w:rPr>
          <w:rFonts w:ascii="Times New Roman" w:hAnsi="Times New Roman" w:cs="Times New Roman"/>
          <w:bCs/>
          <w:sz w:val="28"/>
          <w:szCs w:val="28"/>
          <w:lang w:val="uk-UA" w:eastAsia="ru-RU"/>
        </w:rPr>
        <w:t xml:space="preserve"> зі змінами</w:t>
      </w:r>
      <w:r w:rsidR="00EE3019" w:rsidRPr="0047011F">
        <w:rPr>
          <w:rFonts w:ascii="Times New Roman" w:hAnsi="Times New Roman" w:cs="Times New Roman"/>
          <w:bCs/>
          <w:sz w:val="28"/>
          <w:szCs w:val="28"/>
          <w:lang w:val="uk-UA" w:eastAsia="ru-RU"/>
        </w:rPr>
        <w:t xml:space="preserve"> (далі </w:t>
      </w:r>
      <w:r w:rsidR="00320F35" w:rsidRPr="0047011F">
        <w:rPr>
          <w:rFonts w:ascii="Times New Roman" w:hAnsi="Times New Roman" w:cs="Times New Roman"/>
          <w:bCs/>
          <w:sz w:val="28"/>
          <w:szCs w:val="28"/>
          <w:lang w:val="uk-UA" w:eastAsia="ru-RU"/>
        </w:rPr>
        <w:t>–</w:t>
      </w:r>
      <w:r w:rsidR="00125FA3" w:rsidRPr="0047011F">
        <w:rPr>
          <w:rFonts w:ascii="Times New Roman" w:hAnsi="Times New Roman" w:cs="Times New Roman"/>
          <w:bCs/>
          <w:sz w:val="28"/>
          <w:szCs w:val="28"/>
          <w:lang w:val="uk-UA" w:eastAsia="ru-RU"/>
        </w:rPr>
        <w:t xml:space="preserve"> Закон</w:t>
      </w:r>
      <w:r w:rsidR="0047011F">
        <w:rPr>
          <w:rFonts w:ascii="Times New Roman" w:hAnsi="Times New Roman" w:cs="Times New Roman"/>
          <w:bCs/>
          <w:sz w:val="28"/>
          <w:szCs w:val="28"/>
          <w:lang w:val="uk-UA" w:eastAsia="ru-RU"/>
        </w:rPr>
        <w:t xml:space="preserve"> </w:t>
      </w:r>
      <w:r w:rsidR="00EE3019" w:rsidRPr="0047011F">
        <w:rPr>
          <w:rFonts w:ascii="Times New Roman" w:hAnsi="Times New Roman" w:cs="Times New Roman"/>
          <w:bCs/>
          <w:sz w:val="28"/>
          <w:szCs w:val="28"/>
          <w:lang w:val="uk-UA" w:eastAsia="ru-RU"/>
        </w:rPr>
        <w:t xml:space="preserve">№ 4452), які </w:t>
      </w:r>
      <w:r w:rsidR="003D0A25" w:rsidRPr="0047011F">
        <w:rPr>
          <w:rFonts w:ascii="Times New Roman" w:hAnsi="Times New Roman" w:cs="Times New Roman"/>
          <w:bCs/>
          <w:sz w:val="28"/>
          <w:szCs w:val="28"/>
          <w:lang w:val="uk-UA" w:eastAsia="ru-RU"/>
        </w:rPr>
        <w:t xml:space="preserve">стосуються процедури виведення неплатоспроможного банку з ринку </w:t>
      </w:r>
      <w:r w:rsidR="008C01AF">
        <w:rPr>
          <w:rFonts w:ascii="Times New Roman" w:hAnsi="Times New Roman" w:cs="Times New Roman"/>
          <w:bCs/>
          <w:sz w:val="28"/>
          <w:szCs w:val="28"/>
          <w:lang w:val="uk-UA" w:eastAsia="ru-RU"/>
        </w:rPr>
        <w:t>у спосіб</w:t>
      </w:r>
      <w:r w:rsidR="003D0A25" w:rsidRPr="0047011F">
        <w:rPr>
          <w:rFonts w:ascii="Times New Roman" w:hAnsi="Times New Roman" w:cs="Times New Roman"/>
          <w:bCs/>
          <w:sz w:val="28"/>
          <w:szCs w:val="28"/>
          <w:lang w:val="uk-UA" w:eastAsia="ru-RU"/>
        </w:rPr>
        <w:t xml:space="preserve"> його</w:t>
      </w:r>
      <w:r w:rsidR="00EE3019" w:rsidRPr="0047011F">
        <w:rPr>
          <w:rFonts w:ascii="Times New Roman" w:hAnsi="Times New Roman" w:cs="Times New Roman"/>
          <w:bCs/>
          <w:sz w:val="28"/>
          <w:szCs w:val="28"/>
          <w:lang w:val="uk-UA" w:eastAsia="ru-RU"/>
        </w:rPr>
        <w:t xml:space="preserve"> продажу </w:t>
      </w:r>
      <w:r w:rsidR="003D0A25" w:rsidRPr="0047011F">
        <w:rPr>
          <w:rFonts w:ascii="Times New Roman" w:hAnsi="Times New Roman" w:cs="Times New Roman"/>
          <w:bCs/>
          <w:sz w:val="28"/>
          <w:szCs w:val="28"/>
          <w:lang w:val="uk-UA" w:eastAsia="ru-RU"/>
        </w:rPr>
        <w:t>інвестору (у тому числі державі); частина шоста статт</w:t>
      </w:r>
      <w:r w:rsidR="00320F35" w:rsidRPr="0047011F">
        <w:rPr>
          <w:rFonts w:ascii="Times New Roman" w:hAnsi="Times New Roman" w:cs="Times New Roman"/>
          <w:bCs/>
          <w:sz w:val="28"/>
          <w:szCs w:val="28"/>
          <w:lang w:val="uk-UA" w:eastAsia="ru-RU"/>
        </w:rPr>
        <w:t>і 41</w:t>
      </w:r>
      <w:r w:rsidR="008C01AF">
        <w:rPr>
          <w:rFonts w:ascii="Times New Roman" w:hAnsi="Times New Roman" w:cs="Times New Roman"/>
          <w:bCs/>
          <w:sz w:val="28"/>
          <w:szCs w:val="28"/>
          <w:lang w:val="uk-UA" w:eastAsia="ru-RU"/>
        </w:rPr>
        <w:t xml:space="preserve"> </w:t>
      </w:r>
      <w:r w:rsidR="00320F35" w:rsidRPr="0047011F">
        <w:rPr>
          <w:rFonts w:ascii="Times New Roman" w:hAnsi="Times New Roman" w:cs="Times New Roman"/>
          <w:bCs/>
          <w:sz w:val="28"/>
          <w:szCs w:val="28"/>
          <w:lang w:val="uk-UA" w:eastAsia="ru-RU"/>
        </w:rPr>
        <w:t>Закону № 4452</w:t>
      </w:r>
      <w:r w:rsidR="00EE3019" w:rsidRPr="0047011F">
        <w:rPr>
          <w:rFonts w:ascii="Times New Roman" w:hAnsi="Times New Roman" w:cs="Times New Roman"/>
          <w:bCs/>
          <w:sz w:val="28"/>
          <w:szCs w:val="28"/>
          <w:lang w:val="uk-UA" w:eastAsia="ru-RU"/>
        </w:rPr>
        <w:t xml:space="preserve"> встановлює </w:t>
      </w:r>
      <w:r w:rsidR="003D0A25" w:rsidRPr="0047011F">
        <w:rPr>
          <w:rFonts w:ascii="Times New Roman" w:hAnsi="Times New Roman" w:cs="Times New Roman"/>
          <w:bCs/>
          <w:sz w:val="28"/>
          <w:szCs w:val="28"/>
          <w:lang w:val="uk-UA" w:eastAsia="ru-RU"/>
        </w:rPr>
        <w:t>обмеження способів захисту прав учасника неплатоспромож</w:t>
      </w:r>
      <w:r w:rsidR="00EE3019" w:rsidRPr="0047011F">
        <w:rPr>
          <w:rFonts w:ascii="Times New Roman" w:hAnsi="Times New Roman" w:cs="Times New Roman"/>
          <w:bCs/>
          <w:sz w:val="28"/>
          <w:szCs w:val="28"/>
          <w:lang w:val="uk-UA" w:eastAsia="ru-RU"/>
        </w:rPr>
        <w:t xml:space="preserve">ного банку </w:t>
      </w:r>
      <w:r w:rsidR="00125FA3" w:rsidRPr="0047011F">
        <w:rPr>
          <w:rFonts w:ascii="Times New Roman" w:hAnsi="Times New Roman" w:cs="Times New Roman"/>
          <w:bCs/>
          <w:sz w:val="28"/>
          <w:szCs w:val="28"/>
          <w:lang w:val="uk-UA" w:eastAsia="ru-RU"/>
        </w:rPr>
        <w:t>для</w:t>
      </w:r>
      <w:r w:rsidR="00EE3019" w:rsidRPr="0047011F">
        <w:rPr>
          <w:rFonts w:ascii="Times New Roman" w:hAnsi="Times New Roman" w:cs="Times New Roman"/>
          <w:bCs/>
          <w:sz w:val="28"/>
          <w:szCs w:val="28"/>
          <w:lang w:val="uk-UA" w:eastAsia="ru-RU"/>
        </w:rPr>
        <w:t xml:space="preserve"> недопущення </w:t>
      </w:r>
      <w:r w:rsidR="003D0A25" w:rsidRPr="0047011F">
        <w:rPr>
          <w:rFonts w:ascii="Times New Roman" w:hAnsi="Times New Roman" w:cs="Times New Roman"/>
          <w:bCs/>
          <w:sz w:val="28"/>
          <w:szCs w:val="28"/>
          <w:lang w:val="uk-UA" w:eastAsia="ru-RU"/>
        </w:rPr>
        <w:t>реституційних наслідків для інвестора та його майнової відповідальності пе</w:t>
      </w:r>
      <w:r w:rsidR="00EE3019" w:rsidRPr="0047011F">
        <w:rPr>
          <w:rFonts w:ascii="Times New Roman" w:hAnsi="Times New Roman" w:cs="Times New Roman"/>
          <w:bCs/>
          <w:sz w:val="28"/>
          <w:szCs w:val="28"/>
          <w:lang w:val="uk-UA" w:eastAsia="ru-RU"/>
        </w:rPr>
        <w:t xml:space="preserve">ред попереднім </w:t>
      </w:r>
      <w:r w:rsidR="00320F35" w:rsidRPr="0047011F">
        <w:rPr>
          <w:rFonts w:ascii="Times New Roman" w:hAnsi="Times New Roman" w:cs="Times New Roman"/>
          <w:bCs/>
          <w:sz w:val="28"/>
          <w:szCs w:val="28"/>
          <w:lang w:val="uk-UA" w:eastAsia="ru-RU"/>
        </w:rPr>
        <w:t>власником акцій такого банку.</w:t>
      </w:r>
    </w:p>
    <w:p w14:paraId="6701FA12" w14:textId="6DC7313D" w:rsidR="006F4707" w:rsidRPr="0047011F" w:rsidRDefault="00125FA3" w:rsidP="00212054">
      <w:pPr>
        <w:spacing w:after="0" w:line="372"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 xml:space="preserve">Товариство </w:t>
      </w:r>
      <w:r w:rsidR="00137AC3" w:rsidRPr="0047011F">
        <w:rPr>
          <w:rFonts w:ascii="Times New Roman" w:hAnsi="Times New Roman" w:cs="Times New Roman"/>
          <w:bCs/>
          <w:sz w:val="28"/>
          <w:szCs w:val="28"/>
          <w:lang w:val="uk-UA" w:eastAsia="ru-RU"/>
        </w:rPr>
        <w:t xml:space="preserve">вважає, що оспорювані </w:t>
      </w:r>
      <w:r w:rsidR="00572A0A">
        <w:rPr>
          <w:rFonts w:ascii="Times New Roman" w:hAnsi="Times New Roman" w:cs="Times New Roman"/>
          <w:bCs/>
          <w:sz w:val="28"/>
          <w:szCs w:val="28"/>
          <w:lang w:val="uk-UA" w:eastAsia="ru-RU"/>
        </w:rPr>
        <w:t>положення</w:t>
      </w:r>
      <w:r w:rsidR="00137AC3" w:rsidRPr="0047011F">
        <w:rPr>
          <w:rFonts w:ascii="Times New Roman" w:hAnsi="Times New Roman" w:cs="Times New Roman"/>
          <w:bCs/>
          <w:sz w:val="28"/>
          <w:szCs w:val="28"/>
          <w:lang w:val="uk-UA" w:eastAsia="ru-RU"/>
        </w:rPr>
        <w:t xml:space="preserve"> Кодексу та Закону обмежують право особи на ефекти</w:t>
      </w:r>
      <w:r w:rsidR="006D78BB" w:rsidRPr="0047011F">
        <w:rPr>
          <w:rFonts w:ascii="Times New Roman" w:hAnsi="Times New Roman" w:cs="Times New Roman"/>
          <w:bCs/>
          <w:sz w:val="28"/>
          <w:szCs w:val="28"/>
          <w:lang w:val="uk-UA" w:eastAsia="ru-RU"/>
        </w:rPr>
        <w:t xml:space="preserve">вний судовий захист, </w:t>
      </w:r>
      <w:r w:rsidR="00137AC3" w:rsidRPr="0047011F">
        <w:rPr>
          <w:rFonts w:ascii="Times New Roman" w:hAnsi="Times New Roman" w:cs="Times New Roman"/>
          <w:bCs/>
          <w:sz w:val="28"/>
          <w:szCs w:val="28"/>
          <w:lang w:val="uk-UA" w:eastAsia="ru-RU"/>
        </w:rPr>
        <w:t>оскільки істотно обмежують способи захисту права власнос</w:t>
      </w:r>
      <w:r w:rsidR="006D78BB" w:rsidRPr="0047011F">
        <w:rPr>
          <w:rFonts w:ascii="Times New Roman" w:hAnsi="Times New Roman" w:cs="Times New Roman"/>
          <w:bCs/>
          <w:sz w:val="28"/>
          <w:szCs w:val="28"/>
          <w:lang w:val="uk-UA" w:eastAsia="ru-RU"/>
        </w:rPr>
        <w:t>ті акціонерів банку</w:t>
      </w:r>
      <w:r w:rsidR="00137AC3" w:rsidRPr="0047011F">
        <w:rPr>
          <w:rFonts w:ascii="Times New Roman" w:hAnsi="Times New Roman" w:cs="Times New Roman"/>
          <w:bCs/>
          <w:sz w:val="28"/>
          <w:szCs w:val="28"/>
          <w:lang w:val="uk-UA" w:eastAsia="ru-RU"/>
        </w:rPr>
        <w:t>, суперечать конституційному принципу непорушності права власності, унеможливлюють реалізацію вказаного права та його відновлення, порушують такі основні засади здійснення правосуддя</w:t>
      </w:r>
      <w:r w:rsidR="008C01AF">
        <w:rPr>
          <w:rFonts w:ascii="Times New Roman" w:hAnsi="Times New Roman" w:cs="Times New Roman"/>
          <w:bCs/>
          <w:sz w:val="28"/>
          <w:szCs w:val="28"/>
          <w:lang w:val="uk-UA" w:eastAsia="ru-RU"/>
        </w:rPr>
        <w:t>,</w:t>
      </w:r>
      <w:r w:rsidR="00137AC3" w:rsidRPr="0047011F">
        <w:rPr>
          <w:rFonts w:ascii="Times New Roman" w:hAnsi="Times New Roman" w:cs="Times New Roman"/>
          <w:bCs/>
          <w:sz w:val="28"/>
          <w:szCs w:val="28"/>
          <w:lang w:val="uk-UA" w:eastAsia="ru-RU"/>
        </w:rPr>
        <w:t xml:space="preserve"> як рівність усіх учасників судового процесу та змагальність сторін, а також порушують конституційні принципи верховенства права, незалежності та недоторканності</w:t>
      </w:r>
      <w:r w:rsidR="006F4707" w:rsidRPr="0047011F">
        <w:rPr>
          <w:rFonts w:ascii="Times New Roman" w:hAnsi="Times New Roman" w:cs="Times New Roman"/>
          <w:bCs/>
          <w:sz w:val="28"/>
          <w:szCs w:val="28"/>
          <w:lang w:val="uk-UA" w:eastAsia="ru-RU"/>
        </w:rPr>
        <w:t xml:space="preserve"> суддів, недопустимості</w:t>
      </w:r>
      <w:r w:rsidR="00137AC3" w:rsidRPr="0047011F">
        <w:rPr>
          <w:rFonts w:ascii="Times New Roman" w:hAnsi="Times New Roman" w:cs="Times New Roman"/>
          <w:bCs/>
          <w:sz w:val="28"/>
          <w:szCs w:val="28"/>
          <w:lang w:val="uk-UA" w:eastAsia="ru-RU"/>
        </w:rPr>
        <w:t xml:space="preserve"> </w:t>
      </w:r>
      <w:r w:rsidR="006F4707" w:rsidRPr="0047011F">
        <w:rPr>
          <w:rFonts w:ascii="Times New Roman" w:hAnsi="Times New Roman" w:cs="Times New Roman"/>
          <w:bCs/>
          <w:sz w:val="28"/>
          <w:szCs w:val="28"/>
          <w:lang w:val="uk-UA" w:eastAsia="ru-RU"/>
        </w:rPr>
        <w:t xml:space="preserve">зворотної дії закону </w:t>
      </w:r>
      <w:r w:rsidR="008C01AF">
        <w:rPr>
          <w:rFonts w:ascii="Times New Roman" w:hAnsi="Times New Roman" w:cs="Times New Roman"/>
          <w:bCs/>
          <w:sz w:val="28"/>
          <w:szCs w:val="28"/>
          <w:lang w:val="uk-UA" w:eastAsia="ru-RU"/>
        </w:rPr>
        <w:t>в</w:t>
      </w:r>
      <w:r w:rsidR="006F4707" w:rsidRPr="0047011F">
        <w:rPr>
          <w:rFonts w:ascii="Times New Roman" w:hAnsi="Times New Roman" w:cs="Times New Roman"/>
          <w:bCs/>
          <w:sz w:val="28"/>
          <w:szCs w:val="28"/>
          <w:lang w:val="uk-UA" w:eastAsia="ru-RU"/>
        </w:rPr>
        <w:t xml:space="preserve"> часі. </w:t>
      </w:r>
    </w:p>
    <w:p w14:paraId="327A2449" w14:textId="4A088907" w:rsidR="00137AC3" w:rsidRDefault="006F4707" w:rsidP="00212054">
      <w:pPr>
        <w:spacing w:after="0" w:line="372" w:lineRule="auto"/>
        <w:ind w:firstLine="567"/>
        <w:jc w:val="both"/>
        <w:rPr>
          <w:rFonts w:ascii="Times New Roman" w:hAnsi="Times New Roman" w:cs="Times New Roman"/>
          <w:bCs/>
          <w:sz w:val="28"/>
          <w:szCs w:val="28"/>
          <w:lang w:val="uk-UA" w:eastAsia="ru-RU"/>
        </w:rPr>
      </w:pPr>
      <w:r w:rsidRPr="0047011F">
        <w:rPr>
          <w:rFonts w:ascii="Times New Roman" w:hAnsi="Times New Roman" w:cs="Times New Roman"/>
          <w:bCs/>
          <w:sz w:val="28"/>
          <w:szCs w:val="28"/>
          <w:lang w:val="uk-UA" w:eastAsia="ru-RU"/>
        </w:rPr>
        <w:t>Обґрунтовуючи</w:t>
      </w:r>
      <w:r w:rsidR="00137AC3" w:rsidRPr="0047011F">
        <w:rPr>
          <w:rFonts w:ascii="Times New Roman" w:hAnsi="Times New Roman" w:cs="Times New Roman"/>
          <w:bCs/>
          <w:sz w:val="28"/>
          <w:szCs w:val="28"/>
          <w:lang w:val="uk-UA" w:eastAsia="ru-RU"/>
        </w:rPr>
        <w:t xml:space="preserve"> свої твердження щодо неконституційності оспорюваних </w:t>
      </w:r>
      <w:r w:rsidRPr="0047011F">
        <w:rPr>
          <w:rFonts w:ascii="Times New Roman" w:hAnsi="Times New Roman" w:cs="Times New Roman"/>
          <w:bCs/>
          <w:sz w:val="28"/>
          <w:szCs w:val="28"/>
          <w:lang w:val="uk-UA" w:eastAsia="ru-RU"/>
        </w:rPr>
        <w:t>положень</w:t>
      </w:r>
      <w:r w:rsidR="00125FA3" w:rsidRPr="0047011F">
        <w:rPr>
          <w:rFonts w:ascii="Times New Roman" w:hAnsi="Times New Roman" w:cs="Times New Roman"/>
          <w:bCs/>
          <w:sz w:val="28"/>
          <w:szCs w:val="28"/>
          <w:lang w:val="uk-UA" w:eastAsia="ru-RU"/>
        </w:rPr>
        <w:t xml:space="preserve"> Кодексу та Закону</w:t>
      </w:r>
      <w:r w:rsidR="00137AC3" w:rsidRPr="0047011F">
        <w:rPr>
          <w:rFonts w:ascii="Times New Roman" w:hAnsi="Times New Roman" w:cs="Times New Roman"/>
          <w:bCs/>
          <w:sz w:val="28"/>
          <w:szCs w:val="28"/>
          <w:lang w:val="uk-UA" w:eastAsia="ru-RU"/>
        </w:rPr>
        <w:t xml:space="preserve">, </w:t>
      </w:r>
      <w:r w:rsidR="00125FA3" w:rsidRPr="0047011F">
        <w:rPr>
          <w:rFonts w:ascii="Times New Roman" w:hAnsi="Times New Roman" w:cs="Times New Roman"/>
          <w:bCs/>
          <w:sz w:val="28"/>
          <w:szCs w:val="28"/>
          <w:lang w:val="uk-UA" w:eastAsia="ru-RU"/>
        </w:rPr>
        <w:t>Товариство</w:t>
      </w:r>
      <w:r w:rsidR="00137AC3" w:rsidRPr="0047011F">
        <w:rPr>
          <w:rFonts w:ascii="Times New Roman" w:hAnsi="Times New Roman" w:cs="Times New Roman"/>
          <w:bCs/>
          <w:sz w:val="28"/>
          <w:szCs w:val="28"/>
          <w:lang w:val="uk-UA" w:eastAsia="ru-RU"/>
        </w:rPr>
        <w:t xml:space="preserve"> посилається на </w:t>
      </w:r>
      <w:r w:rsidRPr="0047011F">
        <w:rPr>
          <w:rFonts w:ascii="Times New Roman" w:hAnsi="Times New Roman" w:cs="Times New Roman"/>
          <w:bCs/>
          <w:sz w:val="28"/>
          <w:szCs w:val="28"/>
          <w:lang w:val="uk-UA" w:eastAsia="ru-RU"/>
        </w:rPr>
        <w:t xml:space="preserve">Конституцію </w:t>
      </w:r>
      <w:r w:rsidR="00137AC3" w:rsidRPr="0047011F">
        <w:rPr>
          <w:rFonts w:ascii="Times New Roman" w:hAnsi="Times New Roman" w:cs="Times New Roman"/>
          <w:bCs/>
          <w:sz w:val="28"/>
          <w:szCs w:val="28"/>
          <w:lang w:val="uk-UA" w:eastAsia="ru-RU"/>
        </w:rPr>
        <w:t xml:space="preserve">України, </w:t>
      </w:r>
      <w:r w:rsidRPr="0047011F">
        <w:rPr>
          <w:rFonts w:ascii="Times New Roman" w:hAnsi="Times New Roman" w:cs="Times New Roman"/>
          <w:bCs/>
          <w:sz w:val="28"/>
          <w:szCs w:val="28"/>
          <w:lang w:val="uk-UA" w:eastAsia="ru-RU"/>
        </w:rPr>
        <w:t xml:space="preserve">Кодекс </w:t>
      </w:r>
      <w:r w:rsidR="00137AC3" w:rsidRPr="0047011F">
        <w:rPr>
          <w:rFonts w:ascii="Times New Roman" w:hAnsi="Times New Roman" w:cs="Times New Roman"/>
          <w:bCs/>
          <w:sz w:val="28"/>
          <w:szCs w:val="28"/>
          <w:lang w:val="uk-UA" w:eastAsia="ru-RU"/>
        </w:rPr>
        <w:t xml:space="preserve">(у редакції до </w:t>
      </w:r>
      <w:r w:rsidR="00572A0A">
        <w:rPr>
          <w:rFonts w:ascii="Times New Roman" w:hAnsi="Times New Roman" w:cs="Times New Roman"/>
          <w:bCs/>
          <w:sz w:val="28"/>
          <w:szCs w:val="28"/>
          <w:lang w:val="uk-UA" w:eastAsia="ru-RU"/>
        </w:rPr>
        <w:t>внесення змін</w:t>
      </w:r>
      <w:r w:rsidR="00137AC3" w:rsidRPr="0047011F">
        <w:rPr>
          <w:rFonts w:ascii="Times New Roman" w:hAnsi="Times New Roman" w:cs="Times New Roman"/>
          <w:bCs/>
          <w:sz w:val="28"/>
          <w:szCs w:val="28"/>
          <w:lang w:val="uk-UA" w:eastAsia="ru-RU"/>
        </w:rPr>
        <w:t xml:space="preserve"> Законом, та у чинній редакції),</w:t>
      </w:r>
      <w:r w:rsidRPr="0047011F">
        <w:rPr>
          <w:rFonts w:ascii="Times New Roman" w:hAnsi="Times New Roman" w:cs="Times New Roman"/>
          <w:bCs/>
          <w:sz w:val="28"/>
          <w:szCs w:val="28"/>
          <w:lang w:val="uk-UA" w:eastAsia="ru-RU"/>
        </w:rPr>
        <w:t xml:space="preserve"> Закон,</w:t>
      </w:r>
      <w:r w:rsidR="00572A0A">
        <w:rPr>
          <w:rFonts w:ascii="Times New Roman" w:hAnsi="Times New Roman" w:cs="Times New Roman"/>
          <w:bCs/>
          <w:sz w:val="28"/>
          <w:szCs w:val="28"/>
          <w:lang w:val="uk-UA" w:eastAsia="ru-RU"/>
        </w:rPr>
        <w:br/>
      </w:r>
      <w:r w:rsidRPr="0047011F">
        <w:rPr>
          <w:rFonts w:ascii="Times New Roman" w:hAnsi="Times New Roman" w:cs="Times New Roman"/>
          <w:bCs/>
          <w:sz w:val="28"/>
          <w:szCs w:val="28"/>
          <w:lang w:val="uk-UA" w:eastAsia="ru-RU"/>
        </w:rPr>
        <w:t xml:space="preserve">Закон № 4452, Конвенцію </w:t>
      </w:r>
      <w:r w:rsidR="00137AC3" w:rsidRPr="0047011F">
        <w:rPr>
          <w:rFonts w:ascii="Times New Roman" w:hAnsi="Times New Roman" w:cs="Times New Roman"/>
          <w:bCs/>
          <w:sz w:val="28"/>
          <w:szCs w:val="28"/>
          <w:lang w:val="uk-UA" w:eastAsia="ru-RU"/>
        </w:rPr>
        <w:t>про захист прав людини і основоположних свобод 1950 року</w:t>
      </w:r>
      <w:r w:rsidR="006D78BB" w:rsidRPr="0047011F">
        <w:rPr>
          <w:rFonts w:ascii="Times New Roman" w:hAnsi="Times New Roman" w:cs="Times New Roman"/>
          <w:bCs/>
          <w:sz w:val="28"/>
          <w:szCs w:val="28"/>
          <w:lang w:val="uk-UA" w:eastAsia="ru-RU"/>
        </w:rPr>
        <w:t xml:space="preserve">, </w:t>
      </w:r>
      <w:r w:rsidR="00137AC3" w:rsidRPr="0047011F">
        <w:rPr>
          <w:rFonts w:ascii="Times New Roman" w:hAnsi="Times New Roman" w:cs="Times New Roman"/>
          <w:bCs/>
          <w:sz w:val="28"/>
          <w:szCs w:val="28"/>
          <w:lang w:val="uk-UA" w:eastAsia="ru-RU"/>
        </w:rPr>
        <w:t>Пе</w:t>
      </w:r>
      <w:r w:rsidR="006D78BB" w:rsidRPr="0047011F">
        <w:rPr>
          <w:rFonts w:ascii="Times New Roman" w:hAnsi="Times New Roman" w:cs="Times New Roman"/>
          <w:bCs/>
          <w:sz w:val="28"/>
          <w:szCs w:val="28"/>
          <w:lang w:val="uk-UA" w:eastAsia="ru-RU"/>
        </w:rPr>
        <w:t>рш</w:t>
      </w:r>
      <w:r w:rsidR="00125FA3" w:rsidRPr="0047011F">
        <w:rPr>
          <w:rFonts w:ascii="Times New Roman" w:hAnsi="Times New Roman" w:cs="Times New Roman"/>
          <w:bCs/>
          <w:sz w:val="28"/>
          <w:szCs w:val="28"/>
          <w:lang w:val="uk-UA" w:eastAsia="ru-RU"/>
        </w:rPr>
        <w:t>ий протокол</w:t>
      </w:r>
      <w:r w:rsidR="006D78BB" w:rsidRPr="0047011F">
        <w:rPr>
          <w:rFonts w:ascii="Times New Roman" w:hAnsi="Times New Roman" w:cs="Times New Roman"/>
          <w:bCs/>
          <w:sz w:val="28"/>
          <w:szCs w:val="28"/>
          <w:lang w:val="uk-UA" w:eastAsia="ru-RU"/>
        </w:rPr>
        <w:t xml:space="preserve"> до</w:t>
      </w:r>
      <w:r w:rsidR="008C01AF">
        <w:rPr>
          <w:rFonts w:ascii="Times New Roman" w:hAnsi="Times New Roman" w:cs="Times New Roman"/>
          <w:bCs/>
          <w:sz w:val="28"/>
          <w:szCs w:val="28"/>
          <w:lang w:val="uk-UA" w:eastAsia="ru-RU"/>
        </w:rPr>
        <w:t xml:space="preserve"> цієї</w:t>
      </w:r>
      <w:r w:rsidR="006D78BB" w:rsidRPr="0047011F">
        <w:rPr>
          <w:rFonts w:ascii="Times New Roman" w:hAnsi="Times New Roman" w:cs="Times New Roman"/>
          <w:bCs/>
          <w:sz w:val="28"/>
          <w:szCs w:val="28"/>
          <w:lang w:val="uk-UA" w:eastAsia="ru-RU"/>
        </w:rPr>
        <w:t xml:space="preserve"> </w:t>
      </w:r>
      <w:r w:rsidR="008C01AF">
        <w:rPr>
          <w:rFonts w:ascii="Times New Roman" w:hAnsi="Times New Roman" w:cs="Times New Roman"/>
          <w:bCs/>
          <w:sz w:val="28"/>
          <w:szCs w:val="28"/>
          <w:lang w:val="uk-UA" w:eastAsia="ru-RU"/>
        </w:rPr>
        <w:t>к</w:t>
      </w:r>
      <w:r w:rsidR="006D78BB" w:rsidRPr="0047011F">
        <w:rPr>
          <w:rFonts w:ascii="Times New Roman" w:hAnsi="Times New Roman" w:cs="Times New Roman"/>
          <w:bCs/>
          <w:sz w:val="28"/>
          <w:szCs w:val="28"/>
          <w:lang w:val="uk-UA" w:eastAsia="ru-RU"/>
        </w:rPr>
        <w:t>онвенції,</w:t>
      </w:r>
      <w:r w:rsidR="00137AC3" w:rsidRPr="0047011F">
        <w:rPr>
          <w:rFonts w:ascii="Times New Roman" w:hAnsi="Times New Roman" w:cs="Times New Roman"/>
          <w:bCs/>
          <w:sz w:val="28"/>
          <w:szCs w:val="28"/>
          <w:lang w:val="uk-UA" w:eastAsia="ru-RU"/>
        </w:rPr>
        <w:t xml:space="preserve"> </w:t>
      </w:r>
      <w:r w:rsidR="006D78BB" w:rsidRPr="0047011F">
        <w:rPr>
          <w:rFonts w:ascii="Times New Roman" w:hAnsi="Times New Roman" w:cs="Times New Roman"/>
          <w:bCs/>
          <w:sz w:val="28"/>
          <w:szCs w:val="28"/>
          <w:lang w:val="uk-UA" w:eastAsia="ru-RU"/>
        </w:rPr>
        <w:t>Доповідь про правовладдя Європейської Комісії „За демократію через право“ (Венеційська Комісія), ухвалену на її 86-му пленарному засіданні 25–26 березня 2011 року</w:t>
      </w:r>
      <w:r w:rsidR="00572A0A">
        <w:rPr>
          <w:rFonts w:ascii="Times New Roman" w:hAnsi="Times New Roman" w:cs="Times New Roman"/>
          <w:bCs/>
          <w:sz w:val="28"/>
          <w:szCs w:val="28"/>
          <w:lang w:val="uk-UA" w:eastAsia="ru-RU"/>
        </w:rPr>
        <w:br/>
      </w:r>
      <w:r w:rsidR="006D78BB" w:rsidRPr="0047011F">
        <w:rPr>
          <w:rFonts w:ascii="Times New Roman" w:hAnsi="Times New Roman" w:cs="Times New Roman"/>
          <w:bCs/>
          <w:sz w:val="28"/>
          <w:szCs w:val="28"/>
          <w:lang w:val="uk-UA" w:eastAsia="ru-RU"/>
        </w:rPr>
        <w:lastRenderedPageBreak/>
        <w:t xml:space="preserve">[CDL-AD(2011)003rev], рішення Конституційного Суду України, </w:t>
      </w:r>
      <w:r w:rsidR="00137AC3" w:rsidRPr="0047011F">
        <w:rPr>
          <w:rFonts w:ascii="Times New Roman" w:hAnsi="Times New Roman" w:cs="Times New Roman"/>
          <w:bCs/>
          <w:sz w:val="28"/>
          <w:szCs w:val="28"/>
          <w:lang w:val="uk-UA" w:eastAsia="ru-RU"/>
        </w:rPr>
        <w:t>Європейського суду з прав людини</w:t>
      </w:r>
      <w:r w:rsidR="006D78BB" w:rsidRPr="0047011F">
        <w:rPr>
          <w:rFonts w:ascii="Times New Roman" w:hAnsi="Times New Roman" w:cs="Times New Roman"/>
          <w:bCs/>
          <w:sz w:val="28"/>
          <w:szCs w:val="28"/>
          <w:lang w:val="uk-UA" w:eastAsia="ru-RU"/>
        </w:rPr>
        <w:t>, а також на</w:t>
      </w:r>
      <w:r w:rsidR="00572A0A">
        <w:rPr>
          <w:rFonts w:ascii="Times New Roman" w:hAnsi="Times New Roman" w:cs="Times New Roman"/>
          <w:bCs/>
          <w:sz w:val="28"/>
          <w:szCs w:val="28"/>
          <w:lang w:val="uk-UA" w:eastAsia="ru-RU"/>
        </w:rPr>
        <w:t xml:space="preserve"> судові</w:t>
      </w:r>
      <w:r w:rsidR="006D78BB" w:rsidRPr="0047011F">
        <w:rPr>
          <w:rFonts w:ascii="Times New Roman" w:hAnsi="Times New Roman" w:cs="Times New Roman"/>
          <w:bCs/>
          <w:sz w:val="28"/>
          <w:szCs w:val="28"/>
          <w:lang w:val="uk-UA" w:eastAsia="ru-RU"/>
        </w:rPr>
        <w:t xml:space="preserve"> рішення у його </w:t>
      </w:r>
      <w:r w:rsidR="00137AC3" w:rsidRPr="0047011F">
        <w:rPr>
          <w:rFonts w:ascii="Times New Roman" w:hAnsi="Times New Roman" w:cs="Times New Roman"/>
          <w:bCs/>
          <w:sz w:val="28"/>
          <w:szCs w:val="28"/>
          <w:lang w:val="uk-UA" w:eastAsia="ru-RU"/>
        </w:rPr>
        <w:t>справі.</w:t>
      </w:r>
    </w:p>
    <w:p w14:paraId="1E6C448E" w14:textId="77777777" w:rsidR="00212054" w:rsidRPr="0047011F" w:rsidRDefault="00212054" w:rsidP="00212054">
      <w:pPr>
        <w:spacing w:after="0" w:line="372" w:lineRule="auto"/>
        <w:ind w:firstLine="567"/>
        <w:jc w:val="both"/>
        <w:rPr>
          <w:rFonts w:ascii="Times New Roman" w:hAnsi="Times New Roman" w:cs="Times New Roman"/>
          <w:bCs/>
          <w:sz w:val="28"/>
          <w:szCs w:val="28"/>
          <w:lang w:val="uk-UA" w:eastAsia="ru-RU"/>
        </w:rPr>
      </w:pPr>
    </w:p>
    <w:p w14:paraId="00E51458" w14:textId="3CF5CD01" w:rsidR="00014EDE" w:rsidRPr="0047011F" w:rsidRDefault="00CC6D37"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bCs/>
          <w:sz w:val="28"/>
          <w:szCs w:val="28"/>
          <w:lang w:val="uk-UA" w:eastAsia="ru-RU"/>
        </w:rPr>
        <w:t>3</w:t>
      </w:r>
      <w:r w:rsidR="00014EDE" w:rsidRPr="0047011F">
        <w:rPr>
          <w:rFonts w:ascii="Times New Roman" w:hAnsi="Times New Roman" w:cs="Times New Roman"/>
          <w:bCs/>
          <w:sz w:val="28"/>
          <w:szCs w:val="28"/>
          <w:lang w:val="uk-UA" w:eastAsia="ru-RU"/>
        </w:rPr>
        <w:t xml:space="preserve">. Розв’язуючи </w:t>
      </w:r>
      <w:r w:rsidR="00014EDE" w:rsidRPr="0047011F">
        <w:rPr>
          <w:rFonts w:ascii="Times New Roman" w:hAnsi="Times New Roman" w:cs="Times New Roman"/>
          <w:bCs/>
          <w:sz w:val="28"/>
          <w:szCs w:val="28"/>
          <w:lang w:val="uk-UA"/>
        </w:rPr>
        <w:t xml:space="preserve">питання про відкриття конституційного провадження у справі, </w:t>
      </w:r>
      <w:r w:rsidR="00014EDE" w:rsidRPr="0047011F">
        <w:rPr>
          <w:rFonts w:ascii="Times New Roman" w:hAnsi="Times New Roman" w:cs="Times New Roman"/>
          <w:sz w:val="28"/>
          <w:szCs w:val="28"/>
          <w:lang w:val="uk-UA"/>
        </w:rPr>
        <w:t>Друга колегія суддів Першого сенату Конституційного Суду України виходить із такого.</w:t>
      </w:r>
    </w:p>
    <w:p w14:paraId="663E255C" w14:textId="3053C2D9" w:rsidR="005C2116" w:rsidRPr="0047011F" w:rsidRDefault="00014EDE"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sz w:val="28"/>
          <w:szCs w:val="28"/>
          <w:lang w:val="uk-UA"/>
        </w:rPr>
        <w:t xml:space="preserve">Згідно із Законом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w:t>
      </w:r>
      <w:r w:rsidR="00C90812">
        <w:rPr>
          <w:rFonts w:ascii="Times New Roman" w:hAnsi="Times New Roman" w:cs="Times New Roman"/>
          <w:sz w:val="28"/>
          <w:szCs w:val="28"/>
          <w:lang w:val="uk-UA"/>
        </w:rPr>
        <w:t>положень</w:t>
      </w:r>
      <w:r w:rsidRPr="0047011F">
        <w:rPr>
          <w:rFonts w:ascii="Times New Roman" w:hAnsi="Times New Roman" w:cs="Times New Roman"/>
          <w:sz w:val="28"/>
          <w:szCs w:val="28"/>
          <w:lang w:val="uk-UA"/>
        </w:rPr>
        <w:t xml:space="preserve">), що застосований в остаточному судовому рішенні у справі суб’єкта права на конституційну скаргу (частина перша статті 55); конституційна скарга має містити, зокрема, обґрунтування тверджень щодо неконституційності закону України (його окремих </w:t>
      </w:r>
      <w:r w:rsidR="00C90812">
        <w:rPr>
          <w:rFonts w:ascii="Times New Roman" w:hAnsi="Times New Roman" w:cs="Times New Roman"/>
          <w:sz w:val="28"/>
          <w:szCs w:val="28"/>
          <w:lang w:val="uk-UA"/>
        </w:rPr>
        <w:t>положень</w:t>
      </w:r>
      <w:r w:rsidRPr="0047011F">
        <w:rPr>
          <w:rFonts w:ascii="Times New Roman" w:hAnsi="Times New Roman" w:cs="Times New Roman"/>
          <w:sz w:val="28"/>
          <w:szCs w:val="28"/>
          <w:lang w:val="uk-UA"/>
        </w:rPr>
        <w:t xml:space="preserve">)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w:t>
      </w:r>
      <w:bookmarkStart w:id="1" w:name="_Hlk101398318"/>
      <w:r w:rsidRPr="0047011F">
        <w:rPr>
          <w:rFonts w:ascii="Times New Roman" w:hAnsi="Times New Roman" w:cs="Times New Roman"/>
          <w:sz w:val="28"/>
          <w:szCs w:val="28"/>
          <w:lang w:val="uk-UA"/>
        </w:rPr>
        <w:t>конституційна скарга</w:t>
      </w:r>
      <w:r w:rsidR="00950A06" w:rsidRPr="0047011F">
        <w:rPr>
          <w:rFonts w:ascii="Times New Roman" w:hAnsi="Times New Roman" w:cs="Times New Roman"/>
          <w:sz w:val="28"/>
          <w:szCs w:val="28"/>
          <w:lang w:val="uk-UA"/>
        </w:rPr>
        <w:t xml:space="preserve"> є </w:t>
      </w:r>
      <w:r w:rsidRPr="0047011F">
        <w:rPr>
          <w:rFonts w:ascii="Times New Roman" w:hAnsi="Times New Roman" w:cs="Times New Roman"/>
          <w:sz w:val="28"/>
          <w:szCs w:val="28"/>
          <w:lang w:val="uk-UA"/>
        </w:rPr>
        <w:t xml:space="preserve">прийнятною за умов її відповідності вимогам, </w:t>
      </w:r>
      <w:r w:rsidR="00950A06" w:rsidRPr="0047011F">
        <w:rPr>
          <w:rFonts w:ascii="Times New Roman" w:hAnsi="Times New Roman" w:cs="Times New Roman"/>
          <w:sz w:val="28"/>
          <w:szCs w:val="28"/>
          <w:lang w:val="uk-UA"/>
        </w:rPr>
        <w:t>визначеним</w:t>
      </w:r>
      <w:r w:rsidRPr="0047011F">
        <w:rPr>
          <w:rFonts w:ascii="Times New Roman" w:hAnsi="Times New Roman" w:cs="Times New Roman"/>
          <w:sz w:val="28"/>
          <w:szCs w:val="28"/>
          <w:lang w:val="uk-UA"/>
        </w:rPr>
        <w:t xml:space="preserve"> статтями 55, 56 цього закону, та якщо:</w:t>
      </w:r>
      <w:bookmarkStart w:id="2" w:name="n558"/>
      <w:bookmarkEnd w:id="2"/>
      <w:r w:rsidRPr="0047011F">
        <w:rPr>
          <w:rFonts w:ascii="Times New Roman" w:hAnsi="Times New Roman" w:cs="Times New Roman"/>
          <w:sz w:val="28"/>
          <w:szCs w:val="28"/>
          <w:lang w:val="uk-UA"/>
        </w:rPr>
        <w:t xml:space="preserve"> вичерпано всі національні засоби юридичного захисту (за наявності ухваленого в порядку апеляційного перегляду судового рішення, яке набрало законної сили, а в разі </w:t>
      </w:r>
      <w:r w:rsidR="00950A06" w:rsidRPr="0047011F">
        <w:rPr>
          <w:rFonts w:ascii="Times New Roman" w:hAnsi="Times New Roman" w:cs="Times New Roman"/>
          <w:sz w:val="28"/>
          <w:szCs w:val="28"/>
          <w:lang w:val="uk-UA"/>
        </w:rPr>
        <w:t>визна</w:t>
      </w:r>
      <w:r w:rsidRPr="0047011F">
        <w:rPr>
          <w:rFonts w:ascii="Times New Roman" w:hAnsi="Times New Roman" w:cs="Times New Roman"/>
          <w:sz w:val="28"/>
          <w:szCs w:val="28"/>
          <w:lang w:val="uk-UA"/>
        </w:rPr>
        <w:t>ченої законом можливості касаційного оскарження – судового рішення, винесеного в порядку касаційного перегляду);</w:t>
      </w:r>
      <w:bookmarkStart w:id="3" w:name="n559"/>
      <w:bookmarkEnd w:id="3"/>
      <w:r w:rsidRPr="0047011F">
        <w:rPr>
          <w:rFonts w:ascii="Times New Roman" w:hAnsi="Times New Roman" w:cs="Times New Roman"/>
          <w:sz w:val="28"/>
          <w:szCs w:val="28"/>
          <w:lang w:val="uk-UA"/>
        </w:rPr>
        <w:t xml:space="preserve"> з дня набрання законної сили остаточним судовим рішенням, у якому застосовано закон України (його окремі </w:t>
      </w:r>
      <w:r w:rsidR="00C90812">
        <w:rPr>
          <w:rFonts w:ascii="Times New Roman" w:hAnsi="Times New Roman" w:cs="Times New Roman"/>
          <w:sz w:val="28"/>
          <w:szCs w:val="28"/>
          <w:lang w:val="uk-UA"/>
        </w:rPr>
        <w:t>положення</w:t>
      </w:r>
      <w:r w:rsidRPr="0047011F">
        <w:rPr>
          <w:rFonts w:ascii="Times New Roman" w:hAnsi="Times New Roman" w:cs="Times New Roman"/>
          <w:sz w:val="28"/>
          <w:szCs w:val="28"/>
          <w:lang w:val="uk-UA"/>
        </w:rPr>
        <w:t>), сплинуло не більше трьох місяців (частина перша статті</w:t>
      </w:r>
      <w:r w:rsidR="0047011F">
        <w:rPr>
          <w:rFonts w:ascii="Times New Roman" w:hAnsi="Times New Roman" w:cs="Times New Roman"/>
          <w:sz w:val="28"/>
          <w:szCs w:val="28"/>
          <w:lang w:val="uk-UA"/>
        </w:rPr>
        <w:t xml:space="preserve"> </w:t>
      </w:r>
      <w:r w:rsidRPr="0047011F">
        <w:rPr>
          <w:rFonts w:ascii="Times New Roman" w:hAnsi="Times New Roman" w:cs="Times New Roman"/>
          <w:sz w:val="28"/>
          <w:szCs w:val="28"/>
          <w:lang w:val="uk-UA"/>
        </w:rPr>
        <w:t>77).</w:t>
      </w:r>
      <w:bookmarkEnd w:id="1"/>
    </w:p>
    <w:p w14:paraId="6E92A92F" w14:textId="77575580" w:rsidR="00E30069" w:rsidRPr="0047011F" w:rsidRDefault="00125FA3"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sz w:val="28"/>
          <w:szCs w:val="28"/>
          <w:lang w:val="uk-UA"/>
        </w:rPr>
        <w:t xml:space="preserve">Товариство, аргументуючи </w:t>
      </w:r>
      <w:r w:rsidR="000B2569" w:rsidRPr="0047011F">
        <w:rPr>
          <w:rFonts w:ascii="Times New Roman" w:hAnsi="Times New Roman" w:cs="Times New Roman"/>
          <w:sz w:val="28"/>
          <w:szCs w:val="28"/>
          <w:lang w:val="uk-UA"/>
        </w:rPr>
        <w:t>неконституційн</w:t>
      </w:r>
      <w:r w:rsidRPr="0047011F">
        <w:rPr>
          <w:rFonts w:ascii="Times New Roman" w:hAnsi="Times New Roman" w:cs="Times New Roman"/>
          <w:sz w:val="28"/>
          <w:szCs w:val="28"/>
          <w:lang w:val="uk-UA"/>
        </w:rPr>
        <w:t>ість</w:t>
      </w:r>
      <w:r w:rsidR="000B2569" w:rsidRPr="0047011F">
        <w:rPr>
          <w:rFonts w:ascii="Times New Roman" w:hAnsi="Times New Roman" w:cs="Times New Roman"/>
          <w:sz w:val="28"/>
          <w:szCs w:val="28"/>
          <w:lang w:val="uk-UA"/>
        </w:rPr>
        <w:t xml:space="preserve"> частин третьої, четвертої статті 5 Кодексу, підпункту 1 пункту 5 розділу І, пункту </w:t>
      </w:r>
      <w:r w:rsidR="00E66AA8" w:rsidRPr="0047011F">
        <w:rPr>
          <w:rFonts w:ascii="Times New Roman" w:hAnsi="Times New Roman" w:cs="Times New Roman"/>
          <w:sz w:val="28"/>
          <w:szCs w:val="28"/>
          <w:lang w:val="uk-UA"/>
        </w:rPr>
        <w:t>7 розділу II</w:t>
      </w:r>
      <w:r w:rsidR="000B2569" w:rsidRPr="0047011F">
        <w:rPr>
          <w:rFonts w:ascii="Times New Roman" w:hAnsi="Times New Roman" w:cs="Times New Roman"/>
          <w:sz w:val="28"/>
          <w:szCs w:val="28"/>
          <w:lang w:val="uk-UA"/>
        </w:rPr>
        <w:t xml:space="preserve"> </w:t>
      </w:r>
      <w:r w:rsidR="00F6635D" w:rsidRPr="0047011F">
        <w:rPr>
          <w:rFonts w:ascii="Times New Roman" w:hAnsi="Times New Roman" w:cs="Times New Roman"/>
          <w:sz w:val="28"/>
          <w:szCs w:val="28"/>
          <w:lang w:val="uk-UA"/>
        </w:rPr>
        <w:t>„</w:t>
      </w:r>
      <w:r w:rsidR="000B2569" w:rsidRPr="0047011F">
        <w:rPr>
          <w:rFonts w:ascii="Times New Roman" w:hAnsi="Times New Roman" w:cs="Times New Roman"/>
          <w:sz w:val="28"/>
          <w:szCs w:val="28"/>
          <w:lang w:val="uk-UA"/>
        </w:rPr>
        <w:t>Прикінцеві та перехідні положення</w:t>
      </w:r>
      <w:r w:rsidR="00F6635D" w:rsidRPr="0047011F">
        <w:rPr>
          <w:rFonts w:ascii="Times New Roman" w:hAnsi="Times New Roman" w:cs="Times New Roman"/>
          <w:sz w:val="28"/>
          <w:szCs w:val="28"/>
          <w:lang w:val="uk-UA"/>
        </w:rPr>
        <w:t>“</w:t>
      </w:r>
      <w:r w:rsidR="000B2569" w:rsidRPr="0047011F">
        <w:rPr>
          <w:rFonts w:ascii="Times New Roman" w:hAnsi="Times New Roman" w:cs="Times New Roman"/>
          <w:sz w:val="28"/>
          <w:szCs w:val="28"/>
          <w:lang w:val="uk-UA"/>
        </w:rPr>
        <w:t xml:space="preserve"> Закону, по суті, </w:t>
      </w:r>
      <w:r w:rsidRPr="0047011F">
        <w:rPr>
          <w:rFonts w:ascii="Times New Roman" w:hAnsi="Times New Roman" w:cs="Times New Roman"/>
          <w:sz w:val="28"/>
          <w:szCs w:val="28"/>
          <w:lang w:val="uk-UA"/>
        </w:rPr>
        <w:t>висловило незгоду</w:t>
      </w:r>
      <w:r w:rsidR="000B2569" w:rsidRPr="0047011F">
        <w:rPr>
          <w:rFonts w:ascii="Times New Roman" w:hAnsi="Times New Roman" w:cs="Times New Roman"/>
          <w:sz w:val="28"/>
          <w:szCs w:val="28"/>
          <w:lang w:val="uk-UA"/>
        </w:rPr>
        <w:t xml:space="preserve"> із законодавчим регулюванням способу захисту прав осіб, які є (були) учасниками банку і права та інтереси яких були порушені внаслідок виведення неплатоспроможного банку з ринку</w:t>
      </w:r>
      <w:r w:rsidR="00212054">
        <w:rPr>
          <w:rFonts w:ascii="Times New Roman" w:hAnsi="Times New Roman" w:cs="Times New Roman"/>
          <w:sz w:val="28"/>
          <w:szCs w:val="28"/>
          <w:lang w:val="uk-UA"/>
        </w:rPr>
        <w:t>,</w:t>
      </w:r>
      <w:r w:rsidRPr="0047011F">
        <w:rPr>
          <w:rFonts w:ascii="Times New Roman" w:hAnsi="Times New Roman" w:cs="Times New Roman"/>
          <w:sz w:val="28"/>
          <w:szCs w:val="28"/>
          <w:lang w:val="uk-UA"/>
        </w:rPr>
        <w:t xml:space="preserve"> та дало оцінку законодавчого регулювання альтернативного способу </w:t>
      </w:r>
      <w:r w:rsidRPr="0047011F">
        <w:rPr>
          <w:rFonts w:ascii="Times New Roman" w:hAnsi="Times New Roman" w:cs="Times New Roman"/>
          <w:sz w:val="28"/>
          <w:szCs w:val="28"/>
          <w:lang w:val="uk-UA"/>
        </w:rPr>
        <w:lastRenderedPageBreak/>
        <w:t>судового захисту</w:t>
      </w:r>
      <w:r w:rsidR="000B2569" w:rsidRPr="0047011F">
        <w:rPr>
          <w:rFonts w:ascii="Times New Roman" w:hAnsi="Times New Roman" w:cs="Times New Roman"/>
          <w:sz w:val="28"/>
          <w:szCs w:val="28"/>
          <w:lang w:val="uk-UA"/>
        </w:rPr>
        <w:t>, що не можна вважати належним обґрунтуванням тверджень про невідповідність Конституції України (неконституційність) оспорюв</w:t>
      </w:r>
      <w:r w:rsidR="00F6635D" w:rsidRPr="0047011F">
        <w:rPr>
          <w:rFonts w:ascii="Times New Roman" w:hAnsi="Times New Roman" w:cs="Times New Roman"/>
          <w:sz w:val="28"/>
          <w:szCs w:val="28"/>
          <w:lang w:val="uk-UA"/>
        </w:rPr>
        <w:t xml:space="preserve">аних </w:t>
      </w:r>
      <w:r w:rsidR="00CA31CA">
        <w:rPr>
          <w:rFonts w:ascii="Times New Roman" w:hAnsi="Times New Roman" w:cs="Times New Roman"/>
          <w:sz w:val="28"/>
          <w:szCs w:val="28"/>
          <w:lang w:val="uk-UA"/>
        </w:rPr>
        <w:t>положень</w:t>
      </w:r>
      <w:r w:rsidR="00F6635D" w:rsidRPr="0047011F">
        <w:rPr>
          <w:rFonts w:ascii="Times New Roman" w:hAnsi="Times New Roman" w:cs="Times New Roman"/>
          <w:sz w:val="28"/>
          <w:szCs w:val="28"/>
          <w:lang w:val="uk-UA"/>
        </w:rPr>
        <w:t xml:space="preserve"> Кодексу та</w:t>
      </w:r>
      <w:r w:rsidR="0047011F">
        <w:rPr>
          <w:rFonts w:ascii="Times New Roman" w:hAnsi="Times New Roman" w:cs="Times New Roman"/>
          <w:sz w:val="28"/>
          <w:szCs w:val="28"/>
          <w:lang w:val="uk-UA"/>
        </w:rPr>
        <w:t xml:space="preserve"> </w:t>
      </w:r>
      <w:r w:rsidR="00F6635D" w:rsidRPr="0047011F">
        <w:rPr>
          <w:rFonts w:ascii="Times New Roman" w:hAnsi="Times New Roman" w:cs="Times New Roman"/>
          <w:sz w:val="28"/>
          <w:szCs w:val="28"/>
          <w:lang w:val="uk-UA"/>
        </w:rPr>
        <w:t>Закону</w:t>
      </w:r>
      <w:r w:rsidR="000B2569" w:rsidRPr="0047011F">
        <w:rPr>
          <w:rFonts w:ascii="Times New Roman" w:hAnsi="Times New Roman" w:cs="Times New Roman"/>
          <w:sz w:val="28"/>
          <w:szCs w:val="28"/>
          <w:lang w:val="uk-UA"/>
        </w:rPr>
        <w:t>.</w:t>
      </w:r>
    </w:p>
    <w:p w14:paraId="4AC3B273" w14:textId="1905133F" w:rsidR="00EA5256" w:rsidRPr="0047011F" w:rsidRDefault="00F6635D" w:rsidP="0047011F">
      <w:pPr>
        <w:spacing w:after="0" w:line="360" w:lineRule="auto"/>
        <w:ind w:firstLine="567"/>
        <w:jc w:val="both"/>
        <w:rPr>
          <w:rFonts w:ascii="Times New Roman" w:hAnsi="Times New Roman" w:cs="Times New Roman"/>
          <w:sz w:val="28"/>
          <w:szCs w:val="28"/>
          <w:lang w:val="uk-UA" w:eastAsia="ru-RU"/>
        </w:rPr>
      </w:pPr>
      <w:r w:rsidRPr="0047011F">
        <w:rPr>
          <w:rFonts w:ascii="Times New Roman" w:hAnsi="Times New Roman" w:cs="Times New Roman"/>
          <w:sz w:val="28"/>
          <w:szCs w:val="28"/>
          <w:lang w:val="uk-UA" w:eastAsia="ru-RU"/>
        </w:rPr>
        <w:t>Крім того, Товариство</w:t>
      </w:r>
      <w:r w:rsidR="000B2569" w:rsidRPr="0047011F">
        <w:rPr>
          <w:rFonts w:ascii="Times New Roman" w:hAnsi="Times New Roman" w:cs="Times New Roman"/>
          <w:sz w:val="28"/>
          <w:szCs w:val="28"/>
          <w:lang w:val="uk-UA" w:eastAsia="ru-RU"/>
        </w:rPr>
        <w:t xml:space="preserve"> вважає, що в його справі мали бути застосовані </w:t>
      </w:r>
      <w:r w:rsidRPr="0047011F">
        <w:rPr>
          <w:rFonts w:ascii="Times New Roman" w:hAnsi="Times New Roman" w:cs="Times New Roman"/>
          <w:sz w:val="28"/>
          <w:szCs w:val="28"/>
          <w:lang w:val="uk-UA" w:eastAsia="ru-RU"/>
        </w:rPr>
        <w:t>положення</w:t>
      </w:r>
      <w:r w:rsidR="000B2569" w:rsidRPr="0047011F">
        <w:rPr>
          <w:rFonts w:ascii="Times New Roman" w:hAnsi="Times New Roman" w:cs="Times New Roman"/>
          <w:sz w:val="28"/>
          <w:szCs w:val="28"/>
          <w:lang w:val="uk-UA" w:eastAsia="ru-RU"/>
        </w:rPr>
        <w:t xml:space="preserve"> Кодексу в редакції до внесення змін Законом. </w:t>
      </w:r>
      <w:r w:rsidR="00125FA3" w:rsidRPr="0047011F">
        <w:rPr>
          <w:rFonts w:ascii="Times New Roman" w:hAnsi="Times New Roman" w:cs="Times New Roman"/>
          <w:sz w:val="28"/>
          <w:szCs w:val="28"/>
          <w:lang w:val="uk-UA" w:eastAsia="ru-RU"/>
        </w:rPr>
        <w:t>Однак</w:t>
      </w:r>
      <w:r w:rsidR="006764A0" w:rsidRPr="0047011F">
        <w:rPr>
          <w:rFonts w:ascii="Times New Roman" w:hAnsi="Times New Roman" w:cs="Times New Roman"/>
          <w:sz w:val="28"/>
          <w:szCs w:val="28"/>
          <w:lang w:val="uk-UA" w:eastAsia="ru-RU"/>
        </w:rPr>
        <w:t xml:space="preserve"> </w:t>
      </w:r>
      <w:r w:rsidR="000B2569" w:rsidRPr="0047011F">
        <w:rPr>
          <w:rFonts w:ascii="Times New Roman" w:hAnsi="Times New Roman" w:cs="Times New Roman"/>
          <w:sz w:val="28"/>
          <w:szCs w:val="28"/>
          <w:lang w:val="uk-UA" w:eastAsia="ru-RU"/>
        </w:rPr>
        <w:t>порівняння чинних п</w:t>
      </w:r>
      <w:r w:rsidR="006764A0" w:rsidRPr="0047011F">
        <w:rPr>
          <w:rFonts w:ascii="Times New Roman" w:hAnsi="Times New Roman" w:cs="Times New Roman"/>
          <w:sz w:val="28"/>
          <w:szCs w:val="28"/>
          <w:lang w:val="uk-UA" w:eastAsia="ru-RU"/>
        </w:rPr>
        <w:t>оложень</w:t>
      </w:r>
      <w:r w:rsidR="000B2569" w:rsidRPr="0047011F">
        <w:rPr>
          <w:rFonts w:ascii="Times New Roman" w:hAnsi="Times New Roman" w:cs="Times New Roman"/>
          <w:sz w:val="28"/>
          <w:szCs w:val="28"/>
          <w:lang w:val="uk-UA" w:eastAsia="ru-RU"/>
        </w:rPr>
        <w:t xml:space="preserve"> законів України та їх попередніх редакцій, цитування Основного Закону України, юридичних позицій Конституційного Суду України без аргументації невідповідності Конституції України оспорюваних п</w:t>
      </w:r>
      <w:r w:rsidR="006764A0" w:rsidRPr="0047011F">
        <w:rPr>
          <w:rFonts w:ascii="Times New Roman" w:hAnsi="Times New Roman" w:cs="Times New Roman"/>
          <w:sz w:val="28"/>
          <w:szCs w:val="28"/>
          <w:lang w:val="uk-UA" w:eastAsia="ru-RU"/>
        </w:rPr>
        <w:t>оложень</w:t>
      </w:r>
      <w:r w:rsidR="000B2569" w:rsidRPr="0047011F">
        <w:rPr>
          <w:rFonts w:ascii="Times New Roman" w:hAnsi="Times New Roman" w:cs="Times New Roman"/>
          <w:sz w:val="28"/>
          <w:szCs w:val="28"/>
          <w:lang w:val="uk-UA" w:eastAsia="ru-RU"/>
        </w:rPr>
        <w:t xml:space="preserve"> законів України не є обґрунтуванням тверджень щодо їх неконституційності</w:t>
      </w:r>
      <w:r w:rsidR="00E66AA8" w:rsidRPr="0047011F">
        <w:rPr>
          <w:rFonts w:ascii="Times New Roman" w:hAnsi="Times New Roman" w:cs="Times New Roman"/>
          <w:sz w:val="28"/>
          <w:szCs w:val="28"/>
          <w:lang w:val="uk-UA" w:eastAsia="ru-RU"/>
        </w:rPr>
        <w:t>.</w:t>
      </w:r>
    </w:p>
    <w:p w14:paraId="79AA2C51" w14:textId="354CE7F4" w:rsidR="00EA5256" w:rsidRPr="0047011F" w:rsidRDefault="00EA5256" w:rsidP="0047011F">
      <w:pPr>
        <w:spacing w:after="0" w:line="360" w:lineRule="auto"/>
        <w:ind w:firstLine="567"/>
        <w:jc w:val="both"/>
        <w:rPr>
          <w:rFonts w:ascii="Times New Roman" w:hAnsi="Times New Roman" w:cs="Times New Roman"/>
          <w:sz w:val="28"/>
          <w:szCs w:val="28"/>
          <w:lang w:val="uk-UA" w:eastAsia="ru-RU"/>
        </w:rPr>
      </w:pPr>
      <w:r w:rsidRPr="0047011F">
        <w:rPr>
          <w:rFonts w:ascii="Times New Roman" w:hAnsi="Times New Roman" w:cs="Times New Roman"/>
          <w:sz w:val="28"/>
          <w:szCs w:val="28"/>
          <w:lang w:val="uk-UA" w:eastAsia="ru-RU"/>
        </w:rPr>
        <w:t xml:space="preserve">Із наведеного випливає, що </w:t>
      </w:r>
      <w:r w:rsidR="00125FA3" w:rsidRPr="0047011F">
        <w:rPr>
          <w:rFonts w:ascii="Times New Roman" w:hAnsi="Times New Roman" w:cs="Times New Roman"/>
          <w:sz w:val="28"/>
          <w:szCs w:val="28"/>
          <w:lang w:val="uk-UA" w:eastAsia="ru-RU"/>
        </w:rPr>
        <w:t>Товариство не дотримало</w:t>
      </w:r>
      <w:r w:rsidRPr="0047011F">
        <w:rPr>
          <w:rFonts w:ascii="Times New Roman" w:hAnsi="Times New Roman" w:cs="Times New Roman"/>
          <w:sz w:val="28"/>
          <w:szCs w:val="28"/>
          <w:lang w:val="uk-UA" w:eastAsia="ru-RU"/>
        </w:rPr>
        <w:t xml:space="preserve"> вимог 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 закону – неприйнятність конституційної скарги.</w:t>
      </w:r>
    </w:p>
    <w:p w14:paraId="0E617141" w14:textId="69F5BC48" w:rsidR="004B2A49" w:rsidRPr="0047011F" w:rsidRDefault="00772A07"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sz w:val="28"/>
          <w:szCs w:val="28"/>
          <w:lang w:val="uk-UA"/>
        </w:rPr>
        <w:t>Отже</w:t>
      </w:r>
      <w:r w:rsidR="00E243FF" w:rsidRPr="0047011F">
        <w:rPr>
          <w:rFonts w:ascii="Times New Roman" w:hAnsi="Times New Roman" w:cs="Times New Roman"/>
          <w:sz w:val="28"/>
          <w:szCs w:val="28"/>
          <w:lang w:val="uk-UA"/>
        </w:rPr>
        <w:t>, наведене є підставою для відмови у відкритті конституційного провадження у справі згідно з пунктом 4 статті 62 Закону України „Про Конституційний Суд України“ – неприйнятність конституційної скарги.</w:t>
      </w:r>
    </w:p>
    <w:p w14:paraId="07858383" w14:textId="77777777" w:rsidR="00E66AA8" w:rsidRPr="0047011F" w:rsidRDefault="00E66AA8" w:rsidP="0047011F">
      <w:pPr>
        <w:spacing w:after="0" w:line="360" w:lineRule="auto"/>
        <w:ind w:firstLine="567"/>
        <w:jc w:val="both"/>
        <w:rPr>
          <w:rFonts w:ascii="Times New Roman" w:hAnsi="Times New Roman" w:cs="Times New Roman"/>
          <w:sz w:val="28"/>
          <w:szCs w:val="28"/>
          <w:lang w:val="uk-UA"/>
        </w:rPr>
      </w:pPr>
    </w:p>
    <w:p w14:paraId="6C66A345" w14:textId="3759B51A" w:rsidR="00014EDE" w:rsidRPr="0047011F" w:rsidRDefault="00014EDE"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sz w:val="28"/>
          <w:szCs w:val="28"/>
          <w:lang w:val="uk-UA"/>
        </w:rPr>
        <w:t>Ураховуючи викладене та керуючись статтями 147, 151</w:t>
      </w:r>
      <w:r w:rsidRPr="0047011F">
        <w:rPr>
          <w:rFonts w:ascii="Times New Roman" w:hAnsi="Times New Roman" w:cs="Times New Roman"/>
          <w:sz w:val="28"/>
          <w:szCs w:val="28"/>
          <w:vertAlign w:val="superscript"/>
          <w:lang w:val="uk-UA"/>
        </w:rPr>
        <w:t>1</w:t>
      </w:r>
      <w:r w:rsidRPr="0047011F">
        <w:rPr>
          <w:rFonts w:ascii="Times New Roman" w:hAnsi="Times New Roman" w:cs="Times New Roman"/>
          <w:sz w:val="28"/>
          <w:szCs w:val="28"/>
          <w:lang w:val="uk-UA"/>
        </w:rPr>
        <w:t>, 153 Конституції України, на підставі статей 7, 32, 37, 50, 55, 56, 58, 62, 77,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38927338" w14:textId="77777777" w:rsidR="00014EDE" w:rsidRPr="0047011F" w:rsidRDefault="00014EDE" w:rsidP="0047011F">
      <w:pPr>
        <w:spacing w:after="0" w:line="360" w:lineRule="auto"/>
        <w:ind w:firstLine="567"/>
        <w:jc w:val="both"/>
        <w:rPr>
          <w:rFonts w:ascii="Times New Roman" w:hAnsi="Times New Roman" w:cs="Times New Roman"/>
          <w:sz w:val="28"/>
          <w:szCs w:val="28"/>
          <w:lang w:val="uk-UA"/>
        </w:rPr>
      </w:pPr>
    </w:p>
    <w:p w14:paraId="655B0D93" w14:textId="7366EB7B" w:rsidR="00014EDE" w:rsidRPr="0047011F" w:rsidRDefault="00C816B6" w:rsidP="0047011F">
      <w:pPr>
        <w:spacing w:after="0" w:line="360" w:lineRule="auto"/>
        <w:jc w:val="center"/>
        <w:rPr>
          <w:rFonts w:ascii="Times New Roman" w:hAnsi="Times New Roman" w:cs="Times New Roman"/>
          <w:b/>
          <w:sz w:val="28"/>
          <w:szCs w:val="28"/>
          <w:lang w:val="uk-UA"/>
        </w:rPr>
      </w:pPr>
      <w:r w:rsidRPr="0047011F">
        <w:rPr>
          <w:rFonts w:ascii="Times New Roman" w:hAnsi="Times New Roman" w:cs="Times New Roman"/>
          <w:b/>
          <w:sz w:val="28"/>
          <w:szCs w:val="28"/>
          <w:lang w:val="uk-UA"/>
        </w:rPr>
        <w:t>п о с т а н о в и л а</w:t>
      </w:r>
      <w:r w:rsidR="00014EDE" w:rsidRPr="0047011F">
        <w:rPr>
          <w:rFonts w:ascii="Times New Roman" w:hAnsi="Times New Roman" w:cs="Times New Roman"/>
          <w:b/>
          <w:sz w:val="28"/>
          <w:szCs w:val="28"/>
          <w:lang w:val="uk-UA"/>
        </w:rPr>
        <w:t>:</w:t>
      </w:r>
    </w:p>
    <w:p w14:paraId="71249F42" w14:textId="77777777" w:rsidR="00014EDE" w:rsidRPr="0047011F" w:rsidRDefault="00014EDE" w:rsidP="0047011F">
      <w:pPr>
        <w:spacing w:after="0" w:line="360" w:lineRule="auto"/>
        <w:ind w:firstLine="567"/>
        <w:jc w:val="center"/>
        <w:rPr>
          <w:rFonts w:ascii="Times New Roman" w:hAnsi="Times New Roman" w:cs="Times New Roman"/>
          <w:b/>
          <w:sz w:val="28"/>
          <w:szCs w:val="28"/>
          <w:lang w:val="uk-UA"/>
        </w:rPr>
      </w:pPr>
    </w:p>
    <w:p w14:paraId="3A448113" w14:textId="0F496B61" w:rsidR="00517DA0" w:rsidRPr="0047011F" w:rsidRDefault="00014EDE"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sz w:val="28"/>
          <w:szCs w:val="28"/>
          <w:lang w:val="uk-UA"/>
        </w:rPr>
        <w:t xml:space="preserve">1. Відмовити у відкритті конституційного провадження у справі за конституційною скаргою </w:t>
      </w:r>
      <w:r w:rsidR="00C816B6" w:rsidRPr="0047011F">
        <w:rPr>
          <w:rFonts w:ascii="Times New Roman" w:hAnsi="Times New Roman" w:cs="Times New Roman"/>
          <w:sz w:val="28"/>
          <w:szCs w:val="28"/>
          <w:lang w:val="uk-UA" w:eastAsia="ru-RU"/>
        </w:rPr>
        <w:t xml:space="preserve">Товариства з обмеженою відповідальністю „Чорноморський рибний порт“ щодо відповідності Конституції України (конституційності) частин третьої, четвертої статті 5 Господарського </w:t>
      </w:r>
      <w:r w:rsidR="00C816B6" w:rsidRPr="0047011F">
        <w:rPr>
          <w:rFonts w:ascii="Times New Roman" w:hAnsi="Times New Roman" w:cs="Times New Roman"/>
          <w:sz w:val="28"/>
          <w:szCs w:val="28"/>
          <w:lang w:val="uk-UA" w:eastAsia="ru-RU"/>
        </w:rPr>
        <w:lastRenderedPageBreak/>
        <w:t>процесуального кодексу України, пі</w:t>
      </w:r>
      <w:r w:rsidR="00125FA3" w:rsidRPr="0047011F">
        <w:rPr>
          <w:rFonts w:ascii="Times New Roman" w:hAnsi="Times New Roman" w:cs="Times New Roman"/>
          <w:sz w:val="28"/>
          <w:szCs w:val="28"/>
          <w:lang w:val="uk-UA" w:eastAsia="ru-RU"/>
        </w:rPr>
        <w:t>дпункту 1 пункту 5 розділу І та</w:t>
      </w:r>
      <w:r w:rsidR="00125FA3" w:rsidRPr="0047011F">
        <w:rPr>
          <w:rFonts w:ascii="Times New Roman" w:hAnsi="Times New Roman" w:cs="Times New Roman"/>
          <w:sz w:val="28"/>
          <w:szCs w:val="28"/>
          <w:lang w:val="uk-UA" w:eastAsia="ru-RU"/>
        </w:rPr>
        <w:br/>
      </w:r>
      <w:r w:rsidR="00C816B6" w:rsidRPr="0047011F">
        <w:rPr>
          <w:rFonts w:ascii="Times New Roman" w:hAnsi="Times New Roman" w:cs="Times New Roman"/>
          <w:sz w:val="28"/>
          <w:szCs w:val="28"/>
          <w:lang w:val="uk-UA" w:eastAsia="ru-RU"/>
        </w:rPr>
        <w:t>пункту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w:t>
      </w:r>
      <w:r w:rsidR="00125FA3" w:rsidRPr="0047011F">
        <w:rPr>
          <w:rFonts w:ascii="Times New Roman" w:hAnsi="Times New Roman" w:cs="Times New Roman"/>
          <w:sz w:val="28"/>
          <w:szCs w:val="28"/>
          <w:lang w:val="uk-UA" w:eastAsia="ru-RU"/>
        </w:rPr>
        <w:t>іяльності“ від</w:t>
      </w:r>
      <w:r w:rsidR="0047011F">
        <w:rPr>
          <w:rFonts w:ascii="Times New Roman" w:hAnsi="Times New Roman" w:cs="Times New Roman"/>
          <w:sz w:val="28"/>
          <w:szCs w:val="28"/>
          <w:lang w:val="uk-UA" w:eastAsia="ru-RU"/>
        </w:rPr>
        <w:t xml:space="preserve"> </w:t>
      </w:r>
      <w:r w:rsidR="00C816B6" w:rsidRPr="0047011F">
        <w:rPr>
          <w:rFonts w:ascii="Times New Roman" w:hAnsi="Times New Roman" w:cs="Times New Roman"/>
          <w:sz w:val="28"/>
          <w:szCs w:val="28"/>
          <w:lang w:val="uk-UA" w:eastAsia="ru-RU"/>
        </w:rPr>
        <w:t>13 травня 2020 року</w:t>
      </w:r>
      <w:r w:rsidR="0047011F">
        <w:rPr>
          <w:rFonts w:ascii="Times New Roman" w:hAnsi="Times New Roman" w:cs="Times New Roman"/>
          <w:sz w:val="28"/>
          <w:szCs w:val="28"/>
          <w:lang w:val="uk-UA" w:eastAsia="ru-RU"/>
        </w:rPr>
        <w:br/>
      </w:r>
      <w:r w:rsidR="00C816B6" w:rsidRPr="0047011F">
        <w:rPr>
          <w:rFonts w:ascii="Times New Roman" w:hAnsi="Times New Roman" w:cs="Times New Roman"/>
          <w:sz w:val="28"/>
          <w:szCs w:val="28"/>
          <w:lang w:val="uk-UA" w:eastAsia="ru-RU"/>
        </w:rPr>
        <w:t xml:space="preserve">№ 590–ІХ </w:t>
      </w:r>
      <w:r w:rsidR="00E243FF" w:rsidRPr="0047011F">
        <w:rPr>
          <w:rFonts w:ascii="Times New Roman" w:hAnsi="Times New Roman" w:cs="Times New Roman"/>
          <w:sz w:val="28"/>
          <w:szCs w:val="28"/>
          <w:lang w:val="uk-UA"/>
        </w:rPr>
        <w:t>на підставі пункту</w:t>
      </w:r>
      <w:r w:rsidR="00ED74BE" w:rsidRPr="0047011F">
        <w:rPr>
          <w:rFonts w:ascii="Times New Roman" w:hAnsi="Times New Roman" w:cs="Times New Roman"/>
          <w:sz w:val="28"/>
          <w:szCs w:val="28"/>
          <w:lang w:val="uk-UA"/>
        </w:rPr>
        <w:t xml:space="preserve"> 4 </w:t>
      </w:r>
      <w:r w:rsidR="00E243FF" w:rsidRPr="0047011F">
        <w:rPr>
          <w:rFonts w:ascii="Times New Roman" w:hAnsi="Times New Roman" w:cs="Times New Roman"/>
          <w:sz w:val="28"/>
          <w:szCs w:val="28"/>
          <w:lang w:val="uk-UA"/>
        </w:rPr>
        <w:t>статті 62 Закону України „Про Конституційний Суд України“ – неприйнятність конституційної скарги.</w:t>
      </w:r>
    </w:p>
    <w:p w14:paraId="37EBA5AE" w14:textId="77777777" w:rsidR="00517DA0" w:rsidRPr="0047011F" w:rsidRDefault="00517DA0" w:rsidP="0047011F">
      <w:pPr>
        <w:spacing w:after="0" w:line="360" w:lineRule="auto"/>
        <w:ind w:firstLine="567"/>
        <w:jc w:val="both"/>
        <w:rPr>
          <w:rFonts w:ascii="Times New Roman" w:hAnsi="Times New Roman" w:cs="Times New Roman"/>
          <w:sz w:val="28"/>
          <w:szCs w:val="28"/>
          <w:lang w:val="uk-UA"/>
        </w:rPr>
      </w:pPr>
    </w:p>
    <w:p w14:paraId="0A7A8C45" w14:textId="5EA28FCB" w:rsidR="00014EDE" w:rsidRDefault="00014EDE" w:rsidP="0047011F">
      <w:pPr>
        <w:spacing w:after="0" w:line="360" w:lineRule="auto"/>
        <w:ind w:firstLine="567"/>
        <w:jc w:val="both"/>
        <w:rPr>
          <w:rFonts w:ascii="Times New Roman" w:hAnsi="Times New Roman" w:cs="Times New Roman"/>
          <w:sz w:val="28"/>
          <w:szCs w:val="28"/>
          <w:lang w:val="uk-UA"/>
        </w:rPr>
      </w:pPr>
      <w:r w:rsidRPr="0047011F">
        <w:rPr>
          <w:rFonts w:ascii="Times New Roman" w:hAnsi="Times New Roman" w:cs="Times New Roman"/>
          <w:sz w:val="28"/>
          <w:szCs w:val="28"/>
          <w:lang w:val="uk-UA"/>
        </w:rPr>
        <w:t>2. Ухвала є остаточною.</w:t>
      </w:r>
    </w:p>
    <w:p w14:paraId="1D7340C1" w14:textId="0586F93E" w:rsidR="0047011F" w:rsidRDefault="0047011F" w:rsidP="0047011F">
      <w:pPr>
        <w:spacing w:after="0" w:line="240" w:lineRule="auto"/>
        <w:ind w:firstLine="567"/>
        <w:jc w:val="both"/>
        <w:rPr>
          <w:rFonts w:ascii="Times New Roman" w:hAnsi="Times New Roman" w:cs="Times New Roman"/>
          <w:sz w:val="28"/>
          <w:szCs w:val="28"/>
          <w:lang w:val="uk-UA"/>
        </w:rPr>
      </w:pPr>
    </w:p>
    <w:p w14:paraId="2614655D" w14:textId="77777777" w:rsidR="0047011F" w:rsidRDefault="0047011F" w:rsidP="0047011F">
      <w:pPr>
        <w:spacing w:after="0" w:line="240" w:lineRule="auto"/>
        <w:ind w:firstLine="567"/>
        <w:jc w:val="both"/>
        <w:rPr>
          <w:rFonts w:ascii="Times New Roman" w:hAnsi="Times New Roman" w:cs="Times New Roman"/>
          <w:sz w:val="28"/>
          <w:szCs w:val="28"/>
          <w:lang w:val="uk-UA"/>
        </w:rPr>
      </w:pPr>
    </w:p>
    <w:p w14:paraId="7FD14B31" w14:textId="474D23F3" w:rsidR="0047011F" w:rsidRDefault="0047011F" w:rsidP="0047011F">
      <w:pPr>
        <w:spacing w:after="0" w:line="240" w:lineRule="auto"/>
        <w:ind w:firstLine="567"/>
        <w:jc w:val="both"/>
        <w:rPr>
          <w:rFonts w:ascii="Times New Roman" w:hAnsi="Times New Roman" w:cs="Times New Roman"/>
          <w:sz w:val="28"/>
          <w:szCs w:val="28"/>
          <w:lang w:val="uk-UA"/>
        </w:rPr>
      </w:pPr>
    </w:p>
    <w:p w14:paraId="361C16E0" w14:textId="77777777" w:rsidR="000A1FE8" w:rsidRPr="000A1FE8" w:rsidRDefault="000A1FE8" w:rsidP="000A1FE8">
      <w:pPr>
        <w:spacing w:after="0" w:line="240" w:lineRule="auto"/>
        <w:ind w:left="4254"/>
        <w:jc w:val="center"/>
        <w:rPr>
          <w:rFonts w:ascii="Times New Roman" w:eastAsia="Calibri" w:hAnsi="Times New Roman" w:cs="Times New Roman"/>
          <w:b/>
          <w:caps/>
          <w:sz w:val="28"/>
          <w:szCs w:val="28"/>
          <w:lang w:val="uk-UA"/>
        </w:rPr>
      </w:pPr>
      <w:r w:rsidRPr="000A1FE8">
        <w:rPr>
          <w:rFonts w:ascii="Times New Roman" w:eastAsia="Calibri" w:hAnsi="Times New Roman" w:cs="Times New Roman"/>
          <w:b/>
          <w:caps/>
          <w:sz w:val="28"/>
          <w:szCs w:val="28"/>
          <w:lang w:val="uk-UA"/>
        </w:rPr>
        <w:t>Друга колегія суддів</w:t>
      </w:r>
    </w:p>
    <w:p w14:paraId="061B7B34" w14:textId="77777777" w:rsidR="000A1FE8" w:rsidRPr="000A1FE8" w:rsidRDefault="000A1FE8" w:rsidP="000A1FE8">
      <w:pPr>
        <w:spacing w:after="0" w:line="240" w:lineRule="auto"/>
        <w:ind w:left="4254"/>
        <w:jc w:val="center"/>
        <w:rPr>
          <w:rFonts w:ascii="Times New Roman" w:eastAsia="Calibri" w:hAnsi="Times New Roman" w:cs="Times New Roman"/>
          <w:b/>
          <w:caps/>
          <w:sz w:val="28"/>
          <w:szCs w:val="28"/>
          <w:lang w:val="uk-UA"/>
        </w:rPr>
      </w:pPr>
      <w:r w:rsidRPr="000A1FE8">
        <w:rPr>
          <w:rFonts w:ascii="Times New Roman" w:eastAsia="Calibri" w:hAnsi="Times New Roman" w:cs="Times New Roman"/>
          <w:b/>
          <w:caps/>
          <w:sz w:val="28"/>
          <w:szCs w:val="28"/>
          <w:lang w:val="uk-UA"/>
        </w:rPr>
        <w:t>Першого сенату</w:t>
      </w:r>
    </w:p>
    <w:p w14:paraId="15A1AC81" w14:textId="516761B0" w:rsidR="0047011F" w:rsidRPr="000A1FE8" w:rsidRDefault="000A1FE8" w:rsidP="000A1FE8">
      <w:pPr>
        <w:spacing w:after="0" w:line="240" w:lineRule="auto"/>
        <w:ind w:left="4254"/>
        <w:jc w:val="center"/>
        <w:rPr>
          <w:rFonts w:ascii="Times New Roman" w:hAnsi="Times New Roman"/>
          <w:b/>
          <w:caps/>
          <w:sz w:val="28"/>
          <w:szCs w:val="28"/>
          <w:lang w:val="ru-RU"/>
        </w:rPr>
      </w:pPr>
      <w:r w:rsidRPr="000A1FE8">
        <w:rPr>
          <w:rFonts w:ascii="Times New Roman" w:eastAsia="Calibri" w:hAnsi="Times New Roman" w:cs="Times New Roman"/>
          <w:b/>
          <w:caps/>
          <w:sz w:val="28"/>
          <w:szCs w:val="28"/>
          <w:lang w:val="uk-UA"/>
        </w:rPr>
        <w:t>Конституційного Суду України</w:t>
      </w:r>
    </w:p>
    <w:sectPr w:rsidR="0047011F" w:rsidRPr="000A1FE8" w:rsidSect="0047011F">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D1A33" w14:textId="77777777" w:rsidR="00C27262" w:rsidRDefault="00C27262">
      <w:pPr>
        <w:spacing w:after="0" w:line="240" w:lineRule="auto"/>
      </w:pPr>
      <w:r>
        <w:separator/>
      </w:r>
    </w:p>
  </w:endnote>
  <w:endnote w:type="continuationSeparator" w:id="0">
    <w:p w14:paraId="0E90F3B0" w14:textId="77777777" w:rsidR="00C27262" w:rsidRDefault="00C2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2300" w14:textId="591906B3" w:rsidR="0047011F" w:rsidRPr="0047011F" w:rsidRDefault="0047011F">
    <w:pPr>
      <w:pStyle w:val="a7"/>
      <w:rPr>
        <w:rFonts w:ascii="Times New Roman" w:hAnsi="Times New Roman" w:cs="Times New Roman"/>
        <w:sz w:val="10"/>
        <w:szCs w:val="10"/>
      </w:rPr>
    </w:pPr>
    <w:r w:rsidRPr="0047011F">
      <w:rPr>
        <w:rFonts w:ascii="Times New Roman" w:hAnsi="Times New Roman" w:cs="Times New Roman"/>
        <w:sz w:val="10"/>
        <w:szCs w:val="10"/>
      </w:rPr>
      <w:fldChar w:fldCharType="begin"/>
    </w:r>
    <w:r w:rsidRPr="0047011F">
      <w:rPr>
        <w:rFonts w:ascii="Times New Roman" w:hAnsi="Times New Roman" w:cs="Times New Roman"/>
        <w:sz w:val="10"/>
        <w:szCs w:val="10"/>
        <w:lang w:val="uk-UA"/>
      </w:rPr>
      <w:instrText xml:space="preserve"> FILENAME \p \* MERGEFORMAT </w:instrText>
    </w:r>
    <w:r w:rsidRPr="0047011F">
      <w:rPr>
        <w:rFonts w:ascii="Times New Roman" w:hAnsi="Times New Roman" w:cs="Times New Roman"/>
        <w:sz w:val="10"/>
        <w:szCs w:val="10"/>
      </w:rPr>
      <w:fldChar w:fldCharType="separate"/>
    </w:r>
    <w:r w:rsidR="000A1FE8">
      <w:rPr>
        <w:rFonts w:ascii="Times New Roman" w:hAnsi="Times New Roman" w:cs="Times New Roman"/>
        <w:noProof/>
        <w:sz w:val="10"/>
        <w:szCs w:val="10"/>
        <w:lang w:val="uk-UA"/>
      </w:rPr>
      <w:t>S:\Mashburo\2025\Suddi\I senat\II koleg\36.docx</w:t>
    </w:r>
    <w:r w:rsidRPr="0047011F">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1CD9" w14:textId="46698ED8" w:rsidR="0047011F" w:rsidRPr="0047011F" w:rsidRDefault="0047011F">
    <w:pPr>
      <w:pStyle w:val="a7"/>
      <w:rPr>
        <w:rFonts w:ascii="Times New Roman" w:hAnsi="Times New Roman" w:cs="Times New Roman"/>
        <w:sz w:val="10"/>
        <w:szCs w:val="10"/>
      </w:rPr>
    </w:pPr>
    <w:r w:rsidRPr="0047011F">
      <w:rPr>
        <w:rFonts w:ascii="Times New Roman" w:hAnsi="Times New Roman" w:cs="Times New Roman"/>
        <w:sz w:val="10"/>
        <w:szCs w:val="10"/>
      </w:rPr>
      <w:fldChar w:fldCharType="begin"/>
    </w:r>
    <w:r w:rsidRPr="0047011F">
      <w:rPr>
        <w:rFonts w:ascii="Times New Roman" w:hAnsi="Times New Roman" w:cs="Times New Roman"/>
        <w:sz w:val="10"/>
        <w:szCs w:val="10"/>
        <w:lang w:val="uk-UA"/>
      </w:rPr>
      <w:instrText xml:space="preserve"> FILENAME \p \* MERGEFORMAT </w:instrText>
    </w:r>
    <w:r w:rsidRPr="0047011F">
      <w:rPr>
        <w:rFonts w:ascii="Times New Roman" w:hAnsi="Times New Roman" w:cs="Times New Roman"/>
        <w:sz w:val="10"/>
        <w:szCs w:val="10"/>
      </w:rPr>
      <w:fldChar w:fldCharType="separate"/>
    </w:r>
    <w:r w:rsidR="000A1FE8">
      <w:rPr>
        <w:rFonts w:ascii="Times New Roman" w:hAnsi="Times New Roman" w:cs="Times New Roman"/>
        <w:noProof/>
        <w:sz w:val="10"/>
        <w:szCs w:val="10"/>
        <w:lang w:val="uk-UA"/>
      </w:rPr>
      <w:t>S:\Mashburo\2025\Suddi\I senat\II koleg\36.docx</w:t>
    </w:r>
    <w:r w:rsidRPr="0047011F">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DF6BC" w14:textId="77777777" w:rsidR="00C27262" w:rsidRDefault="00C27262">
      <w:pPr>
        <w:spacing w:after="0" w:line="240" w:lineRule="auto"/>
      </w:pPr>
      <w:r>
        <w:separator/>
      </w:r>
    </w:p>
  </w:footnote>
  <w:footnote w:type="continuationSeparator" w:id="0">
    <w:p w14:paraId="0B4AB024" w14:textId="77777777" w:rsidR="00C27262" w:rsidRDefault="00C2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38563445"/>
      <w:docPartObj>
        <w:docPartGallery w:val="Page Numbers (Top of Page)"/>
        <w:docPartUnique/>
      </w:docPartObj>
    </w:sdtPr>
    <w:sdtEndPr/>
    <w:sdtContent>
      <w:p w14:paraId="44AC99A0" w14:textId="4C935F6A" w:rsidR="0078023A" w:rsidRPr="0047011F" w:rsidRDefault="00F123D2">
        <w:pPr>
          <w:pStyle w:val="a3"/>
          <w:jc w:val="center"/>
          <w:rPr>
            <w:rFonts w:ascii="Times New Roman" w:hAnsi="Times New Roman"/>
            <w:sz w:val="28"/>
            <w:szCs w:val="28"/>
          </w:rPr>
        </w:pPr>
        <w:r w:rsidRPr="0047011F">
          <w:rPr>
            <w:rFonts w:ascii="Times New Roman" w:hAnsi="Times New Roman"/>
            <w:sz w:val="28"/>
            <w:szCs w:val="28"/>
          </w:rPr>
          <w:fldChar w:fldCharType="begin"/>
        </w:r>
        <w:r w:rsidRPr="0047011F">
          <w:rPr>
            <w:rFonts w:ascii="Times New Roman" w:hAnsi="Times New Roman"/>
            <w:sz w:val="28"/>
            <w:szCs w:val="28"/>
          </w:rPr>
          <w:instrText>PAGE   \* MERGEFORMAT</w:instrText>
        </w:r>
        <w:r w:rsidRPr="0047011F">
          <w:rPr>
            <w:rFonts w:ascii="Times New Roman" w:hAnsi="Times New Roman"/>
            <w:sz w:val="28"/>
            <w:szCs w:val="28"/>
          </w:rPr>
          <w:fldChar w:fldCharType="separate"/>
        </w:r>
        <w:r w:rsidR="00FD7039">
          <w:rPr>
            <w:rFonts w:ascii="Times New Roman" w:hAnsi="Times New Roman"/>
            <w:noProof/>
            <w:sz w:val="28"/>
            <w:szCs w:val="28"/>
          </w:rPr>
          <w:t>7</w:t>
        </w:r>
        <w:r w:rsidRPr="0047011F">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147DE"/>
    <w:multiLevelType w:val="hybridMultilevel"/>
    <w:tmpl w:val="4746B64A"/>
    <w:lvl w:ilvl="0" w:tplc="81D89C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3B06889"/>
    <w:multiLevelType w:val="hybridMultilevel"/>
    <w:tmpl w:val="41FA9AEA"/>
    <w:lvl w:ilvl="0" w:tplc="CBE236D0">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9B"/>
    <w:rsid w:val="00014EDE"/>
    <w:rsid w:val="00022376"/>
    <w:rsid w:val="00067FE0"/>
    <w:rsid w:val="00072DE1"/>
    <w:rsid w:val="000808AE"/>
    <w:rsid w:val="000A1FE8"/>
    <w:rsid w:val="000B215A"/>
    <w:rsid w:val="000B2569"/>
    <w:rsid w:val="000F737B"/>
    <w:rsid w:val="00125FA3"/>
    <w:rsid w:val="00137AC3"/>
    <w:rsid w:val="001967CD"/>
    <w:rsid w:val="001B555B"/>
    <w:rsid w:val="001D4E4C"/>
    <w:rsid w:val="001F5FF6"/>
    <w:rsid w:val="00212054"/>
    <w:rsid w:val="00224930"/>
    <w:rsid w:val="00235686"/>
    <w:rsid w:val="002A1545"/>
    <w:rsid w:val="002B4915"/>
    <w:rsid w:val="002B4F7B"/>
    <w:rsid w:val="00320F35"/>
    <w:rsid w:val="00344BA4"/>
    <w:rsid w:val="00370C33"/>
    <w:rsid w:val="00372964"/>
    <w:rsid w:val="003D0A25"/>
    <w:rsid w:val="003F1007"/>
    <w:rsid w:val="0047011F"/>
    <w:rsid w:val="00477815"/>
    <w:rsid w:val="004851DC"/>
    <w:rsid w:val="00492160"/>
    <w:rsid w:val="004B2A49"/>
    <w:rsid w:val="004F2BCA"/>
    <w:rsid w:val="004F4BE9"/>
    <w:rsid w:val="00517DA0"/>
    <w:rsid w:val="00534B7D"/>
    <w:rsid w:val="00535D0A"/>
    <w:rsid w:val="00546809"/>
    <w:rsid w:val="00572A0A"/>
    <w:rsid w:val="00591F90"/>
    <w:rsid w:val="005C2116"/>
    <w:rsid w:val="005C277C"/>
    <w:rsid w:val="005E0EF4"/>
    <w:rsid w:val="00660E92"/>
    <w:rsid w:val="006736F9"/>
    <w:rsid w:val="006764A0"/>
    <w:rsid w:val="0069142D"/>
    <w:rsid w:val="006A5FAE"/>
    <w:rsid w:val="006C239B"/>
    <w:rsid w:val="006D5C87"/>
    <w:rsid w:val="006D78BB"/>
    <w:rsid w:val="006F4707"/>
    <w:rsid w:val="00724EAC"/>
    <w:rsid w:val="00741493"/>
    <w:rsid w:val="0074261D"/>
    <w:rsid w:val="007512DF"/>
    <w:rsid w:val="00772A07"/>
    <w:rsid w:val="0078023A"/>
    <w:rsid w:val="007A341B"/>
    <w:rsid w:val="007A4071"/>
    <w:rsid w:val="00855018"/>
    <w:rsid w:val="00884A2B"/>
    <w:rsid w:val="00895846"/>
    <w:rsid w:val="008C01AF"/>
    <w:rsid w:val="00937931"/>
    <w:rsid w:val="0094278B"/>
    <w:rsid w:val="00950A06"/>
    <w:rsid w:val="00967EFC"/>
    <w:rsid w:val="009D007E"/>
    <w:rsid w:val="009D23E6"/>
    <w:rsid w:val="00A0288E"/>
    <w:rsid w:val="00A723F0"/>
    <w:rsid w:val="00AF1864"/>
    <w:rsid w:val="00BA47FD"/>
    <w:rsid w:val="00BA5E8D"/>
    <w:rsid w:val="00BF3CA8"/>
    <w:rsid w:val="00C1059B"/>
    <w:rsid w:val="00C13255"/>
    <w:rsid w:val="00C27262"/>
    <w:rsid w:val="00C35A53"/>
    <w:rsid w:val="00C37C45"/>
    <w:rsid w:val="00C62131"/>
    <w:rsid w:val="00C816B6"/>
    <w:rsid w:val="00C90812"/>
    <w:rsid w:val="00C9598F"/>
    <w:rsid w:val="00CA31CA"/>
    <w:rsid w:val="00CA384D"/>
    <w:rsid w:val="00CC6D37"/>
    <w:rsid w:val="00D13292"/>
    <w:rsid w:val="00D1535C"/>
    <w:rsid w:val="00D53CE6"/>
    <w:rsid w:val="00DA7CF2"/>
    <w:rsid w:val="00DC21B1"/>
    <w:rsid w:val="00DD4CF6"/>
    <w:rsid w:val="00DF63A2"/>
    <w:rsid w:val="00E227E8"/>
    <w:rsid w:val="00E243FF"/>
    <w:rsid w:val="00E30069"/>
    <w:rsid w:val="00E34503"/>
    <w:rsid w:val="00E53EF0"/>
    <w:rsid w:val="00E66AA8"/>
    <w:rsid w:val="00E977D5"/>
    <w:rsid w:val="00EA5256"/>
    <w:rsid w:val="00EB15FF"/>
    <w:rsid w:val="00ED0303"/>
    <w:rsid w:val="00ED4257"/>
    <w:rsid w:val="00ED74BE"/>
    <w:rsid w:val="00EE3019"/>
    <w:rsid w:val="00EF2152"/>
    <w:rsid w:val="00F123D2"/>
    <w:rsid w:val="00F6635D"/>
    <w:rsid w:val="00FC0419"/>
    <w:rsid w:val="00FD70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58B7"/>
  <w15:chartTrackingRefBased/>
  <w15:docId w15:val="{6C99F827-0F7A-479A-9C30-685B3C4D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DE"/>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EDE"/>
    <w:pPr>
      <w:tabs>
        <w:tab w:val="center" w:pos="4819"/>
        <w:tab w:val="right" w:pos="9639"/>
      </w:tabs>
      <w:spacing w:after="0" w:line="240" w:lineRule="auto"/>
    </w:pPr>
    <w:rPr>
      <w:rFonts w:ascii="Calibri" w:eastAsia="Times New Roman" w:hAnsi="Calibri" w:cs="Times New Roman"/>
      <w:lang w:val="uk-UA"/>
    </w:rPr>
  </w:style>
  <w:style w:type="character" w:customStyle="1" w:styleId="a4">
    <w:name w:val="Верхній колонтитул Знак"/>
    <w:basedOn w:val="a0"/>
    <w:link w:val="a3"/>
    <w:uiPriority w:val="99"/>
    <w:rsid w:val="00014EDE"/>
    <w:rPr>
      <w:rFonts w:ascii="Calibri" w:eastAsia="Times New Roman" w:hAnsi="Calibri" w:cs="Times New Roman"/>
    </w:rPr>
  </w:style>
  <w:style w:type="paragraph" w:styleId="a5">
    <w:name w:val="Body Text"/>
    <w:basedOn w:val="a"/>
    <w:link w:val="a6"/>
    <w:semiHidden/>
    <w:unhideWhenUsed/>
    <w:rsid w:val="00014EDE"/>
    <w:pPr>
      <w:shd w:val="clear" w:color="auto" w:fill="FFFFFF"/>
      <w:spacing w:after="0" w:line="331" w:lineRule="exact"/>
      <w:ind w:hanging="1140"/>
    </w:pPr>
    <w:rPr>
      <w:rFonts w:ascii="Times New Roman" w:eastAsia="Calibri" w:hAnsi="Times New Roman" w:cs="Times New Roman"/>
      <w:noProof/>
      <w:sz w:val="25"/>
      <w:szCs w:val="25"/>
      <w:lang w:val="uk-UA" w:eastAsia="uk-UA"/>
    </w:rPr>
  </w:style>
  <w:style w:type="character" w:customStyle="1" w:styleId="a6">
    <w:name w:val="Основний текст Знак"/>
    <w:basedOn w:val="a0"/>
    <w:link w:val="a5"/>
    <w:semiHidden/>
    <w:rsid w:val="00014EDE"/>
    <w:rPr>
      <w:rFonts w:ascii="Times New Roman" w:eastAsia="Calibri" w:hAnsi="Times New Roman" w:cs="Times New Roman"/>
      <w:noProof/>
      <w:sz w:val="25"/>
      <w:szCs w:val="25"/>
      <w:shd w:val="clear" w:color="auto" w:fill="FFFFFF"/>
      <w:lang w:eastAsia="uk-UA"/>
    </w:rPr>
  </w:style>
  <w:style w:type="paragraph" w:styleId="a7">
    <w:name w:val="footer"/>
    <w:basedOn w:val="a"/>
    <w:link w:val="a8"/>
    <w:uiPriority w:val="99"/>
    <w:unhideWhenUsed/>
    <w:rsid w:val="00E53EF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53EF0"/>
    <w:rPr>
      <w:lang w:val="en-US"/>
    </w:rPr>
  </w:style>
  <w:style w:type="paragraph" w:styleId="a9">
    <w:name w:val="Balloon Text"/>
    <w:basedOn w:val="a"/>
    <w:link w:val="aa"/>
    <w:uiPriority w:val="99"/>
    <w:semiHidden/>
    <w:unhideWhenUsed/>
    <w:rsid w:val="00E227E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227E8"/>
    <w:rPr>
      <w:rFonts w:ascii="Segoe UI" w:hAnsi="Segoe UI" w:cs="Segoe UI"/>
      <w:sz w:val="18"/>
      <w:szCs w:val="18"/>
      <w:lang w:val="en-US"/>
    </w:rPr>
  </w:style>
  <w:style w:type="paragraph" w:styleId="ab">
    <w:name w:val="No Spacing"/>
    <w:uiPriority w:val="1"/>
    <w:qFormat/>
    <w:rsid w:val="00E227E8"/>
    <w:pPr>
      <w:spacing w:after="0" w:line="240" w:lineRule="auto"/>
    </w:pPr>
    <w:rPr>
      <w:lang w:val="en-US"/>
    </w:rPr>
  </w:style>
  <w:style w:type="paragraph" w:styleId="ac">
    <w:name w:val="List Paragraph"/>
    <w:basedOn w:val="a"/>
    <w:uiPriority w:val="34"/>
    <w:qFormat/>
    <w:rsid w:val="00235686"/>
    <w:pPr>
      <w:ind w:left="720"/>
      <w:contextualSpacing/>
    </w:pPr>
  </w:style>
  <w:style w:type="table" w:styleId="ad">
    <w:name w:val="Table Grid"/>
    <w:basedOn w:val="a1"/>
    <w:uiPriority w:val="39"/>
    <w:rsid w:val="00470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2D5C-EEED-4CC4-882A-F05672B8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7333</Words>
  <Characters>4180</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Раданович</dc:creator>
  <cp:keywords/>
  <dc:description/>
  <cp:lastModifiedBy>Світлана М. Решетник</cp:lastModifiedBy>
  <cp:revision>12</cp:revision>
  <cp:lastPrinted>2025-11-18T08:56:00Z</cp:lastPrinted>
  <dcterms:created xsi:type="dcterms:W3CDTF">2025-11-05T14:26:00Z</dcterms:created>
  <dcterms:modified xsi:type="dcterms:W3CDTF">2025-11-18T13:48:00Z</dcterms:modified>
</cp:coreProperties>
</file>