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8EC" w:rsidRDefault="00E378EC" w:rsidP="00E378EC">
      <w:pPr>
        <w:jc w:val="both"/>
        <w:rPr>
          <w:rFonts w:cs="Times New Roman"/>
          <w:b/>
          <w:sz w:val="28"/>
          <w:szCs w:val="28"/>
          <w:lang w:val="uk-UA" w:bidi="ar-SA"/>
        </w:rPr>
      </w:pPr>
    </w:p>
    <w:p w:rsidR="00530E4A" w:rsidRDefault="00530E4A" w:rsidP="00256AB7">
      <w:pPr>
        <w:jc w:val="both"/>
        <w:rPr>
          <w:rFonts w:cs="Times New Roman"/>
          <w:b/>
          <w:sz w:val="28"/>
          <w:szCs w:val="28"/>
          <w:lang w:val="uk-UA" w:bidi="ar-SA"/>
        </w:rPr>
      </w:pPr>
    </w:p>
    <w:p w:rsidR="00FC510F" w:rsidRDefault="00FC510F" w:rsidP="00256AB7">
      <w:pPr>
        <w:jc w:val="both"/>
        <w:rPr>
          <w:rFonts w:cs="Times New Roman"/>
          <w:b/>
          <w:sz w:val="28"/>
          <w:szCs w:val="28"/>
          <w:lang w:val="uk-UA" w:bidi="ar-SA"/>
        </w:rPr>
      </w:pPr>
    </w:p>
    <w:p w:rsidR="00FC510F" w:rsidRDefault="00FC510F" w:rsidP="00256AB7">
      <w:pPr>
        <w:jc w:val="both"/>
        <w:rPr>
          <w:rFonts w:cs="Times New Roman"/>
          <w:b/>
          <w:sz w:val="28"/>
          <w:szCs w:val="28"/>
          <w:lang w:val="uk-UA" w:bidi="ar-SA"/>
        </w:rPr>
      </w:pPr>
    </w:p>
    <w:p w:rsidR="00FC510F" w:rsidRDefault="00FC510F" w:rsidP="00256AB7">
      <w:pPr>
        <w:jc w:val="both"/>
        <w:rPr>
          <w:rFonts w:cs="Times New Roman"/>
          <w:b/>
          <w:sz w:val="28"/>
          <w:szCs w:val="28"/>
          <w:lang w:val="uk-UA" w:bidi="ar-SA"/>
        </w:rPr>
      </w:pPr>
    </w:p>
    <w:p w:rsidR="00FC510F" w:rsidRDefault="00FC510F" w:rsidP="00256AB7">
      <w:pPr>
        <w:jc w:val="both"/>
        <w:rPr>
          <w:rFonts w:cs="Times New Roman"/>
          <w:b/>
          <w:sz w:val="28"/>
          <w:szCs w:val="28"/>
          <w:lang w:val="uk-UA" w:bidi="ar-SA"/>
        </w:rPr>
      </w:pPr>
    </w:p>
    <w:p w:rsidR="00FC510F" w:rsidRDefault="00FC510F" w:rsidP="00256AB7">
      <w:pPr>
        <w:jc w:val="both"/>
        <w:rPr>
          <w:rFonts w:cs="Times New Roman"/>
          <w:b/>
          <w:sz w:val="28"/>
          <w:szCs w:val="28"/>
          <w:lang w:val="uk-UA" w:bidi="ar-SA"/>
        </w:rPr>
      </w:pPr>
    </w:p>
    <w:p w:rsidR="00FC510F" w:rsidRDefault="00FC510F" w:rsidP="00256AB7">
      <w:pPr>
        <w:jc w:val="both"/>
        <w:rPr>
          <w:rFonts w:cs="Times New Roman"/>
          <w:b/>
          <w:sz w:val="28"/>
          <w:szCs w:val="28"/>
          <w:lang w:val="uk-UA" w:bidi="ar-SA"/>
        </w:rPr>
      </w:pPr>
    </w:p>
    <w:p w:rsidR="00FC510F" w:rsidRDefault="00FC510F" w:rsidP="00256AB7">
      <w:pPr>
        <w:jc w:val="both"/>
        <w:rPr>
          <w:rFonts w:cs="Times New Roman"/>
          <w:b/>
          <w:sz w:val="28"/>
          <w:szCs w:val="28"/>
          <w:lang w:val="uk-UA" w:bidi="ar-SA"/>
        </w:rPr>
      </w:pPr>
    </w:p>
    <w:p w:rsidR="00FC510F" w:rsidRPr="00256AB7" w:rsidRDefault="00FC510F" w:rsidP="00256AB7">
      <w:pPr>
        <w:jc w:val="both"/>
        <w:rPr>
          <w:rFonts w:cs="Times New Roman"/>
          <w:b/>
          <w:sz w:val="28"/>
          <w:szCs w:val="28"/>
          <w:lang w:val="uk-UA" w:bidi="ar-SA"/>
        </w:rPr>
      </w:pPr>
    </w:p>
    <w:p w:rsidR="009D072B" w:rsidRDefault="00AD18EA" w:rsidP="004F2469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  <w:r w:rsidRPr="00083F72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Другою колегією суддів </w:t>
      </w:r>
      <w:r w:rsidR="008E0101">
        <w:rPr>
          <w:rFonts w:cs="Times New Roman"/>
          <w:b/>
          <w:sz w:val="28"/>
          <w:szCs w:val="28"/>
          <w:lang w:val="uk-UA"/>
        </w:rPr>
        <w:t>Першого</w:t>
      </w:r>
      <w:r w:rsidRPr="00083F72">
        <w:rPr>
          <w:rFonts w:cs="Times New Roman"/>
          <w:b/>
          <w:sz w:val="28"/>
          <w:szCs w:val="28"/>
          <w:lang w:val="uk-UA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за </w:t>
      </w:r>
      <w:r w:rsidR="004F2469" w:rsidRPr="004F2469">
        <w:rPr>
          <w:rFonts w:cs="Times New Roman"/>
          <w:b/>
          <w:sz w:val="28"/>
          <w:szCs w:val="28"/>
          <w:lang w:val="uk-UA"/>
        </w:rPr>
        <w:t xml:space="preserve">конституційною скаргою </w:t>
      </w:r>
      <w:r w:rsidR="009235E9" w:rsidRPr="009235E9">
        <w:rPr>
          <w:rFonts w:cs="Times New Roman"/>
          <w:b/>
          <w:sz w:val="28"/>
          <w:szCs w:val="28"/>
          <w:lang w:val="uk-UA"/>
        </w:rPr>
        <w:t xml:space="preserve">Панкеєва Олександра Вікторовича щодо відповідності Конституції України (конституційності) положень статті 294, частини шостої статті 383 Кодексу </w:t>
      </w:r>
      <w:r w:rsidR="00530E4A">
        <w:rPr>
          <w:rFonts w:cs="Times New Roman"/>
          <w:b/>
          <w:sz w:val="28"/>
          <w:szCs w:val="28"/>
          <w:lang w:val="uk-UA"/>
        </w:rPr>
        <w:br/>
      </w:r>
      <w:r w:rsidR="00530E4A">
        <w:rPr>
          <w:rFonts w:cs="Times New Roman"/>
          <w:b/>
          <w:sz w:val="28"/>
          <w:szCs w:val="28"/>
          <w:lang w:val="uk-UA"/>
        </w:rPr>
        <w:tab/>
        <w:t xml:space="preserve">       </w:t>
      </w:r>
      <w:r w:rsidR="00FC510F">
        <w:rPr>
          <w:rFonts w:cs="Times New Roman"/>
          <w:b/>
          <w:sz w:val="28"/>
          <w:szCs w:val="28"/>
          <w:lang w:val="uk-UA"/>
        </w:rPr>
        <w:t xml:space="preserve"> </w:t>
      </w:r>
      <w:r w:rsidR="009235E9" w:rsidRPr="009235E9">
        <w:rPr>
          <w:rFonts w:cs="Times New Roman"/>
          <w:b/>
          <w:sz w:val="28"/>
          <w:szCs w:val="28"/>
          <w:lang w:val="uk-UA"/>
        </w:rPr>
        <w:t>адміністративного судочинства України</w:t>
      </w:r>
    </w:p>
    <w:p w:rsidR="009235E9" w:rsidRDefault="009235E9" w:rsidP="004F2469">
      <w:pPr>
        <w:ind w:left="709" w:right="1134"/>
        <w:jc w:val="both"/>
        <w:rPr>
          <w:rFonts w:cs="Times New Roman"/>
          <w:sz w:val="28"/>
          <w:szCs w:val="28"/>
          <w:lang w:val="uk-UA"/>
        </w:rPr>
      </w:pPr>
    </w:p>
    <w:p w:rsidR="00AD18EA" w:rsidRPr="00083F72" w:rsidRDefault="00AD18EA" w:rsidP="00083F72">
      <w:pPr>
        <w:jc w:val="both"/>
        <w:rPr>
          <w:rFonts w:cs="Times New Roman"/>
          <w:sz w:val="28"/>
          <w:szCs w:val="28"/>
          <w:lang w:val="uk-UA"/>
        </w:rPr>
      </w:pPr>
      <w:r w:rsidRPr="00083F72">
        <w:rPr>
          <w:rFonts w:cs="Times New Roman"/>
          <w:sz w:val="28"/>
          <w:szCs w:val="28"/>
          <w:lang w:val="uk-UA"/>
        </w:rPr>
        <w:t xml:space="preserve">м. К и ї в </w:t>
      </w:r>
      <w:r w:rsidRPr="00083F72">
        <w:rPr>
          <w:rFonts w:cs="Times New Roman"/>
          <w:sz w:val="28"/>
          <w:szCs w:val="28"/>
          <w:lang w:val="uk-UA"/>
        </w:rPr>
        <w:tab/>
      </w:r>
      <w:r w:rsidRPr="00083F72">
        <w:rPr>
          <w:rFonts w:cs="Times New Roman"/>
          <w:sz w:val="28"/>
          <w:szCs w:val="28"/>
          <w:lang w:val="uk-UA"/>
        </w:rPr>
        <w:tab/>
      </w:r>
      <w:r w:rsidRPr="00083F72">
        <w:rPr>
          <w:rFonts w:cs="Times New Roman"/>
          <w:sz w:val="28"/>
          <w:szCs w:val="28"/>
          <w:lang w:val="uk-UA"/>
        </w:rPr>
        <w:tab/>
      </w:r>
      <w:r w:rsidRPr="00083F72">
        <w:rPr>
          <w:rFonts w:cs="Times New Roman"/>
          <w:sz w:val="28"/>
          <w:szCs w:val="28"/>
          <w:lang w:val="uk-UA"/>
        </w:rPr>
        <w:tab/>
      </w:r>
      <w:r w:rsidRPr="00083F72">
        <w:rPr>
          <w:rFonts w:cs="Times New Roman"/>
          <w:sz w:val="28"/>
          <w:szCs w:val="28"/>
          <w:lang w:val="uk-UA"/>
        </w:rPr>
        <w:tab/>
      </w:r>
      <w:r w:rsidRPr="00083F72">
        <w:rPr>
          <w:rFonts w:cs="Times New Roman"/>
          <w:sz w:val="28"/>
          <w:szCs w:val="28"/>
          <w:lang w:val="uk-UA"/>
        </w:rPr>
        <w:tab/>
      </w:r>
      <w:r w:rsidR="00083F72" w:rsidRPr="00083F72">
        <w:rPr>
          <w:rFonts w:cs="Times New Roman"/>
          <w:sz w:val="28"/>
          <w:szCs w:val="28"/>
          <w:lang w:val="uk-UA"/>
        </w:rPr>
        <w:t xml:space="preserve">  </w:t>
      </w:r>
      <w:r w:rsidRPr="00083F72">
        <w:rPr>
          <w:rFonts w:cs="Times New Roman"/>
          <w:sz w:val="28"/>
          <w:szCs w:val="28"/>
          <w:lang w:val="uk-UA"/>
        </w:rPr>
        <w:t xml:space="preserve">Справа </w:t>
      </w:r>
      <w:r w:rsidR="00256AB7">
        <w:rPr>
          <w:rFonts w:cs="Times New Roman"/>
          <w:sz w:val="28"/>
          <w:szCs w:val="28"/>
          <w:lang w:val="uk-UA"/>
        </w:rPr>
        <w:t xml:space="preserve">№ </w:t>
      </w:r>
      <w:r w:rsidR="004F2469">
        <w:rPr>
          <w:rFonts w:cs="Times New Roman"/>
          <w:sz w:val="28"/>
          <w:szCs w:val="28"/>
          <w:lang w:val="uk-UA"/>
        </w:rPr>
        <w:t>3</w:t>
      </w:r>
      <w:r w:rsidR="00261758" w:rsidRPr="00083F72">
        <w:rPr>
          <w:rFonts w:cs="Times New Roman"/>
          <w:sz w:val="28"/>
          <w:szCs w:val="28"/>
          <w:lang w:val="uk-UA"/>
        </w:rPr>
        <w:t>-</w:t>
      </w:r>
      <w:r w:rsidR="005118B3">
        <w:rPr>
          <w:rFonts w:cs="Times New Roman"/>
          <w:sz w:val="28"/>
          <w:szCs w:val="28"/>
          <w:lang w:val="uk-UA"/>
        </w:rPr>
        <w:t>1</w:t>
      </w:r>
      <w:r w:rsidR="009235E9">
        <w:rPr>
          <w:rFonts w:cs="Times New Roman"/>
          <w:sz w:val="28"/>
          <w:szCs w:val="28"/>
          <w:lang w:val="uk-UA"/>
        </w:rPr>
        <w:t>68</w:t>
      </w:r>
      <w:r w:rsidR="00261758" w:rsidRPr="00083F72">
        <w:rPr>
          <w:rFonts w:cs="Times New Roman"/>
          <w:sz w:val="28"/>
          <w:szCs w:val="28"/>
          <w:lang w:val="uk-UA"/>
        </w:rPr>
        <w:t>/202</w:t>
      </w:r>
      <w:r w:rsidR="00B577B2">
        <w:rPr>
          <w:rFonts w:cs="Times New Roman"/>
          <w:sz w:val="28"/>
          <w:szCs w:val="28"/>
          <w:lang w:val="uk-UA"/>
        </w:rPr>
        <w:t>1</w:t>
      </w:r>
      <w:r w:rsidR="00261758" w:rsidRPr="00083F72">
        <w:rPr>
          <w:rFonts w:cs="Times New Roman"/>
          <w:sz w:val="28"/>
          <w:szCs w:val="28"/>
          <w:lang w:val="uk-UA"/>
        </w:rPr>
        <w:t>(</w:t>
      </w:r>
      <w:r w:rsidR="005118B3">
        <w:rPr>
          <w:rFonts w:cs="Times New Roman"/>
          <w:sz w:val="28"/>
          <w:szCs w:val="28"/>
          <w:lang w:val="uk-UA"/>
        </w:rPr>
        <w:t>3</w:t>
      </w:r>
      <w:r w:rsidR="009235E9">
        <w:rPr>
          <w:rFonts w:cs="Times New Roman"/>
          <w:sz w:val="28"/>
          <w:szCs w:val="28"/>
          <w:lang w:val="uk-UA"/>
        </w:rPr>
        <w:t>52</w:t>
      </w:r>
      <w:r w:rsidR="00261758" w:rsidRPr="00083F72">
        <w:rPr>
          <w:rFonts w:cs="Times New Roman"/>
          <w:sz w:val="28"/>
          <w:szCs w:val="28"/>
          <w:lang w:val="uk-UA"/>
        </w:rPr>
        <w:t>/</w:t>
      </w:r>
      <w:r w:rsidR="00B577B2">
        <w:rPr>
          <w:rFonts w:cs="Times New Roman"/>
          <w:sz w:val="28"/>
          <w:szCs w:val="28"/>
          <w:lang w:val="uk-UA"/>
        </w:rPr>
        <w:t>21</w:t>
      </w:r>
      <w:r w:rsidR="00261758" w:rsidRPr="00083F72">
        <w:rPr>
          <w:rFonts w:cs="Times New Roman"/>
          <w:sz w:val="28"/>
          <w:szCs w:val="28"/>
          <w:lang w:val="uk-UA"/>
        </w:rPr>
        <w:t>)</w:t>
      </w:r>
    </w:p>
    <w:p w:rsidR="00B6093F" w:rsidRDefault="009F7305" w:rsidP="00B6093F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17 </w:t>
      </w:r>
      <w:r w:rsidR="00B6093F">
        <w:rPr>
          <w:rFonts w:cs="Times New Roman"/>
          <w:sz w:val="28"/>
          <w:szCs w:val="28"/>
          <w:lang w:val="uk-UA"/>
        </w:rPr>
        <w:t>травня 2022 року</w:t>
      </w:r>
    </w:p>
    <w:p w:rsidR="00AD18EA" w:rsidRPr="00083F72" w:rsidRDefault="00AD18EA" w:rsidP="00083F72">
      <w:pPr>
        <w:jc w:val="both"/>
        <w:rPr>
          <w:rFonts w:cs="Times New Roman"/>
          <w:sz w:val="28"/>
          <w:szCs w:val="28"/>
          <w:lang w:val="uk-UA"/>
        </w:rPr>
      </w:pPr>
      <w:r w:rsidRPr="00083F72">
        <w:rPr>
          <w:rFonts w:cs="Times New Roman"/>
          <w:sz w:val="28"/>
          <w:szCs w:val="28"/>
          <w:lang w:val="uk-UA"/>
        </w:rPr>
        <w:t xml:space="preserve">№ </w:t>
      </w:r>
      <w:r w:rsidR="009F7305">
        <w:rPr>
          <w:rFonts w:cs="Times New Roman"/>
          <w:sz w:val="28"/>
          <w:szCs w:val="28"/>
          <w:lang w:val="uk-UA"/>
        </w:rPr>
        <w:t>292</w:t>
      </w:r>
      <w:r w:rsidR="002E5123">
        <w:rPr>
          <w:rFonts w:cs="Times New Roman"/>
          <w:sz w:val="28"/>
          <w:szCs w:val="28"/>
          <w:lang w:val="uk-UA"/>
        </w:rPr>
        <w:t>-у/202</w:t>
      </w:r>
      <w:r w:rsidR="002C6D46">
        <w:rPr>
          <w:rFonts w:cs="Times New Roman"/>
          <w:sz w:val="28"/>
          <w:szCs w:val="28"/>
          <w:lang w:val="uk-UA"/>
        </w:rPr>
        <w:t>2</w:t>
      </w:r>
    </w:p>
    <w:p w:rsidR="00AD18EA" w:rsidRPr="00083F72" w:rsidRDefault="00AD18EA" w:rsidP="00083F72">
      <w:pPr>
        <w:jc w:val="both"/>
        <w:rPr>
          <w:rFonts w:cs="Times New Roman"/>
          <w:sz w:val="28"/>
          <w:szCs w:val="28"/>
          <w:lang w:val="uk-UA"/>
        </w:rPr>
      </w:pPr>
    </w:p>
    <w:p w:rsidR="00F74FD5" w:rsidRDefault="00F74FD5" w:rsidP="00F74FD5">
      <w:pPr>
        <w:ind w:firstLine="709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складі:</w:t>
      </w:r>
    </w:p>
    <w:p w:rsidR="00F74FD5" w:rsidRDefault="00F74FD5" w:rsidP="00F74FD5">
      <w:pPr>
        <w:ind w:firstLine="709"/>
        <w:jc w:val="both"/>
        <w:rPr>
          <w:rFonts w:cs="Times New Roman"/>
          <w:sz w:val="28"/>
          <w:szCs w:val="28"/>
          <w:highlight w:val="yellow"/>
          <w:lang w:val="uk-UA"/>
        </w:rPr>
      </w:pPr>
    </w:p>
    <w:p w:rsidR="009F7305" w:rsidRDefault="009F7305" w:rsidP="009F73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Головатий Сергій Петрович (голова засідання),</w:t>
      </w:r>
    </w:p>
    <w:p w:rsidR="009F7305" w:rsidRDefault="009F7305" w:rsidP="009F73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Городовенко Віктор Валентинович,</w:t>
      </w:r>
    </w:p>
    <w:p w:rsidR="009F7305" w:rsidRDefault="009F7305" w:rsidP="009F73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Завгородня Ірина Миколаївна,</w:t>
      </w:r>
    </w:p>
    <w:p w:rsidR="009F7305" w:rsidRDefault="009F7305" w:rsidP="009F73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Кичун Віктор Іванович,</w:t>
      </w:r>
    </w:p>
    <w:p w:rsidR="009F7305" w:rsidRDefault="009F7305" w:rsidP="009F73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Колісник Віктор Павлович,</w:t>
      </w:r>
    </w:p>
    <w:p w:rsidR="009F7305" w:rsidRDefault="009F7305" w:rsidP="009F73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Кривенко Віктор Васильович,</w:t>
      </w:r>
    </w:p>
    <w:p w:rsidR="009F7305" w:rsidRDefault="009F7305" w:rsidP="009F73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Лемак Василь Васильович,</w:t>
      </w:r>
    </w:p>
    <w:p w:rsidR="009F7305" w:rsidRDefault="009F7305" w:rsidP="009F73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Мойсик Володимир Романович,</w:t>
      </w:r>
    </w:p>
    <w:p w:rsidR="009F7305" w:rsidRDefault="009F7305" w:rsidP="009F73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Первомайський Олег Олексійович,</w:t>
      </w:r>
    </w:p>
    <w:p w:rsidR="009F7305" w:rsidRDefault="009F7305" w:rsidP="009F73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Сас Сергій Володимирович (доповідач),</w:t>
      </w:r>
    </w:p>
    <w:p w:rsidR="009F7305" w:rsidRDefault="009F7305" w:rsidP="009F73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Сліденко Ігор Дмитрович,</w:t>
      </w:r>
    </w:p>
    <w:p w:rsidR="009F7305" w:rsidRDefault="009F7305" w:rsidP="009F73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Філюк Петро Тодосьович,</w:t>
      </w:r>
    </w:p>
    <w:p w:rsidR="009F7305" w:rsidRDefault="009F7305" w:rsidP="009F73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Юровська Галина Валентинівна,</w:t>
      </w:r>
    </w:p>
    <w:p w:rsidR="00211942" w:rsidRDefault="00211942" w:rsidP="00530E4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18EA" w:rsidRPr="00083F72" w:rsidRDefault="00AD18EA" w:rsidP="00530E4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83F72">
        <w:rPr>
          <w:rFonts w:ascii="Times New Roman" w:hAnsi="Times New Roman" w:cs="Times New Roman"/>
          <w:sz w:val="28"/>
          <w:szCs w:val="28"/>
          <w:lang w:val="uk-UA"/>
        </w:rPr>
        <w:t>розглянула на засіданні клопотання судді</w:t>
      </w:r>
      <w:r w:rsidR="007413C7">
        <w:rPr>
          <w:rFonts w:ascii="Times New Roman" w:hAnsi="Times New Roman" w:cs="Times New Roman"/>
          <w:sz w:val="28"/>
          <w:szCs w:val="28"/>
          <w:lang w:val="uk-UA"/>
        </w:rPr>
        <w:t>-доповідача</w:t>
      </w:r>
      <w:r w:rsidR="00C42BCB" w:rsidRPr="00083F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3C7">
        <w:rPr>
          <w:rFonts w:ascii="Times New Roman" w:hAnsi="Times New Roman" w:cs="Times New Roman"/>
          <w:sz w:val="28"/>
          <w:szCs w:val="28"/>
          <w:lang w:val="uk-UA"/>
        </w:rPr>
        <w:t xml:space="preserve">Саса С.В. </w:t>
      </w:r>
      <w:r w:rsidRPr="00083F72">
        <w:rPr>
          <w:rFonts w:ascii="Times New Roman" w:hAnsi="Times New Roman" w:cs="Times New Roman"/>
          <w:sz w:val="28"/>
          <w:szCs w:val="28"/>
          <w:lang w:val="uk-UA"/>
        </w:rPr>
        <w:t xml:space="preserve">про подовження строку постановлення Другою колегією суддів </w:t>
      </w:r>
      <w:r w:rsidR="00256AB7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Pr="00083F72">
        <w:rPr>
          <w:rFonts w:ascii="Times New Roman" w:hAnsi="Times New Roman" w:cs="Times New Roman"/>
          <w:sz w:val="28"/>
          <w:szCs w:val="28"/>
          <w:lang w:val="uk-UA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за </w:t>
      </w:r>
      <w:r w:rsidR="004F2469" w:rsidRPr="004F2469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конституційною скаргою </w:t>
      </w:r>
      <w:r w:rsidR="009235E9" w:rsidRPr="009235E9">
        <w:rPr>
          <w:rFonts w:ascii="Times New Roman" w:hAnsi="Times New Roman" w:cs="Times New Roman"/>
          <w:sz w:val="28"/>
          <w:szCs w:val="28"/>
          <w:lang w:val="uk-UA"/>
        </w:rPr>
        <w:t xml:space="preserve">Панкеєва </w:t>
      </w:r>
      <w:r w:rsidR="009235E9" w:rsidRPr="009235E9">
        <w:rPr>
          <w:rFonts w:ascii="Times New Roman" w:hAnsi="Times New Roman" w:cs="Times New Roman"/>
          <w:sz w:val="28"/>
          <w:szCs w:val="28"/>
          <w:lang w:val="uk-UA"/>
        </w:rPr>
        <w:lastRenderedPageBreak/>
        <w:t>Олександра Вікторовича щодо відповідності Конституції України (конституційності) положень статті 294, частини шостої статті 383 Кодексу адміністративного судочинства України</w:t>
      </w:r>
      <w:r w:rsidR="005118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18EA" w:rsidRPr="00083F72" w:rsidRDefault="00AD18EA" w:rsidP="00FC510F">
      <w:pPr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AD18EA" w:rsidRPr="00083F72" w:rsidRDefault="00AD18EA" w:rsidP="00530E4A">
      <w:pPr>
        <w:spacing w:line="324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083F72">
        <w:rPr>
          <w:rFonts w:cs="Times New Roman"/>
          <w:sz w:val="28"/>
          <w:szCs w:val="28"/>
          <w:lang w:val="uk-UA"/>
        </w:rPr>
        <w:t xml:space="preserve">Заслухавши </w:t>
      </w:r>
      <w:r w:rsidR="000F071D" w:rsidRPr="000F071D">
        <w:rPr>
          <w:rFonts w:cs="Times New Roman"/>
          <w:sz w:val="28"/>
          <w:szCs w:val="28"/>
          <w:lang w:val="uk-UA"/>
        </w:rPr>
        <w:t>судд</w:t>
      </w:r>
      <w:r w:rsidR="000F071D">
        <w:rPr>
          <w:rFonts w:cs="Times New Roman"/>
          <w:sz w:val="28"/>
          <w:szCs w:val="28"/>
          <w:lang w:val="uk-UA"/>
        </w:rPr>
        <w:t>ю</w:t>
      </w:r>
      <w:r w:rsidR="000F071D" w:rsidRPr="000F071D">
        <w:rPr>
          <w:rFonts w:cs="Times New Roman"/>
          <w:sz w:val="28"/>
          <w:szCs w:val="28"/>
          <w:lang w:val="uk-UA"/>
        </w:rPr>
        <w:t>-доповідача Саса С.В.</w:t>
      </w:r>
      <w:r w:rsidRPr="00083F72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:rsidR="00AD18EA" w:rsidRPr="00083F72" w:rsidRDefault="00AD18EA" w:rsidP="00FC510F">
      <w:pPr>
        <w:shd w:val="clear" w:color="auto" w:fill="FFFFFF"/>
        <w:suppressAutoHyphens/>
        <w:ind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AD18EA" w:rsidRPr="00083F72" w:rsidRDefault="00AD18EA" w:rsidP="00FC510F">
      <w:pPr>
        <w:shd w:val="clear" w:color="auto" w:fill="FFFFFF"/>
        <w:suppressAutoHyphens/>
        <w:jc w:val="center"/>
        <w:rPr>
          <w:rFonts w:cs="Times New Roman"/>
          <w:b/>
          <w:sz w:val="28"/>
          <w:szCs w:val="28"/>
          <w:lang w:val="uk-UA"/>
        </w:rPr>
      </w:pPr>
      <w:r w:rsidRPr="00083F72">
        <w:rPr>
          <w:rFonts w:cs="Times New Roman"/>
          <w:b/>
          <w:sz w:val="28"/>
          <w:szCs w:val="28"/>
          <w:lang w:val="uk-UA"/>
        </w:rPr>
        <w:t>у с т а н о в и л а:</w:t>
      </w:r>
    </w:p>
    <w:p w:rsidR="00AD18EA" w:rsidRPr="00083F72" w:rsidRDefault="00AD18EA" w:rsidP="00FC510F">
      <w:pPr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AD18EA" w:rsidRPr="00083F72" w:rsidRDefault="00075FE7" w:rsidP="00530E4A">
      <w:pPr>
        <w:suppressAutoHyphens/>
        <w:spacing w:line="324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083F72">
        <w:rPr>
          <w:rFonts w:cs="Times New Roman"/>
          <w:sz w:val="28"/>
          <w:szCs w:val="28"/>
          <w:lang w:val="uk-UA"/>
        </w:rPr>
        <w:t>в</w:t>
      </w:r>
      <w:r w:rsidR="00116C08" w:rsidRPr="00083F72">
        <w:rPr>
          <w:rFonts w:cs="Times New Roman"/>
          <w:sz w:val="28"/>
          <w:szCs w:val="28"/>
          <w:lang w:val="uk-UA"/>
        </w:rPr>
        <w:t>ідповідно</w:t>
      </w:r>
      <w:r w:rsidR="00AD18EA" w:rsidRPr="00083F72">
        <w:rPr>
          <w:rFonts w:cs="Times New Roman"/>
          <w:sz w:val="28"/>
          <w:szCs w:val="28"/>
          <w:lang w:val="uk-UA"/>
        </w:rPr>
        <w:t xml:space="preserve"> до Закону України „Про Конституційний Суд України“</w:t>
      </w:r>
      <w:r w:rsidR="00AD18EA" w:rsidRPr="00083F72">
        <w:rPr>
          <w:rFonts w:cs="Times New Roman"/>
          <w:sz w:val="28"/>
          <w:szCs w:val="28"/>
          <w:lang w:val="uk-UA"/>
        </w:rPr>
        <w:br/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2C6D46" w:rsidRDefault="002C6D46" w:rsidP="00530E4A">
      <w:pPr>
        <w:spacing w:line="324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Велика палата Конституційного Суду України ухвалами від 30 вересня </w:t>
      </w:r>
      <w:r>
        <w:rPr>
          <w:rFonts w:cs="Times New Roman"/>
          <w:sz w:val="28"/>
          <w:szCs w:val="28"/>
          <w:lang w:val="uk-UA"/>
        </w:rPr>
        <w:br/>
        <w:t xml:space="preserve">2021 року № 192-у/2021 подовжила до 28 жовтня 2021 року, від 11 листопада 2021 року № 243-у/2021 подовжила до 14 грудня 2021 року, від 14 грудня </w:t>
      </w:r>
      <w:r w:rsidR="006D1860">
        <w:rPr>
          <w:rFonts w:cs="Times New Roman"/>
          <w:sz w:val="28"/>
          <w:szCs w:val="28"/>
          <w:lang w:val="uk-UA"/>
        </w:rPr>
        <w:br/>
      </w:r>
      <w:r>
        <w:rPr>
          <w:rFonts w:cs="Times New Roman"/>
          <w:sz w:val="28"/>
          <w:szCs w:val="28"/>
          <w:lang w:val="uk-UA"/>
        </w:rPr>
        <w:t xml:space="preserve">2021 року № </w:t>
      </w:r>
      <w:r w:rsidR="006D1860">
        <w:rPr>
          <w:rFonts w:cs="Times New Roman"/>
          <w:sz w:val="28"/>
          <w:szCs w:val="28"/>
          <w:lang w:val="uk-UA"/>
        </w:rPr>
        <w:t>318-у/2021</w:t>
      </w:r>
      <w:r>
        <w:rPr>
          <w:rFonts w:cs="Times New Roman"/>
          <w:sz w:val="28"/>
          <w:szCs w:val="28"/>
          <w:lang w:val="uk-UA"/>
        </w:rPr>
        <w:t xml:space="preserve"> </w:t>
      </w:r>
      <w:r w:rsidR="006D1860" w:rsidRPr="006D1860">
        <w:rPr>
          <w:rFonts w:cs="Times New Roman"/>
          <w:sz w:val="28"/>
          <w:szCs w:val="28"/>
          <w:lang w:val="uk-UA"/>
        </w:rPr>
        <w:t xml:space="preserve">подовжила до </w:t>
      </w:r>
      <w:r w:rsidR="006D1860">
        <w:rPr>
          <w:rFonts w:cs="Times New Roman"/>
          <w:sz w:val="28"/>
          <w:szCs w:val="28"/>
          <w:lang w:val="uk-UA"/>
        </w:rPr>
        <w:t>20 січня 2022 року</w:t>
      </w:r>
      <w:r w:rsidR="002F49A7">
        <w:rPr>
          <w:rFonts w:cs="Times New Roman"/>
          <w:sz w:val="28"/>
          <w:szCs w:val="28"/>
          <w:lang w:val="uk-UA"/>
        </w:rPr>
        <w:t xml:space="preserve">, від 18 січня </w:t>
      </w:r>
      <w:r w:rsidR="002F49A7">
        <w:rPr>
          <w:rFonts w:cs="Times New Roman"/>
          <w:sz w:val="28"/>
          <w:szCs w:val="28"/>
          <w:lang w:val="uk-UA"/>
        </w:rPr>
        <w:br/>
        <w:t>2022 року № 41-у/2022 подовжила до 18 лютого 2022 року</w:t>
      </w:r>
      <w:r w:rsidR="00E378EC">
        <w:rPr>
          <w:rFonts w:cs="Times New Roman"/>
          <w:sz w:val="28"/>
          <w:szCs w:val="28"/>
          <w:lang w:val="uk-UA"/>
        </w:rPr>
        <w:t xml:space="preserve">, від 17 лютого </w:t>
      </w:r>
      <w:r w:rsidR="00E378EC">
        <w:rPr>
          <w:rFonts w:cs="Times New Roman"/>
          <w:sz w:val="28"/>
          <w:szCs w:val="28"/>
          <w:lang w:val="uk-UA"/>
        </w:rPr>
        <w:br/>
        <w:t>2022 року № 116-у/2022 подовжила до 22 березня 2022 року</w:t>
      </w:r>
      <w:r w:rsidR="00B6093F">
        <w:rPr>
          <w:rFonts w:cs="Times New Roman"/>
          <w:sz w:val="28"/>
          <w:szCs w:val="28"/>
          <w:lang w:val="uk-UA"/>
        </w:rPr>
        <w:t xml:space="preserve">, від 5 квітня </w:t>
      </w:r>
      <w:r w:rsidR="00B6093F">
        <w:rPr>
          <w:rFonts w:cs="Times New Roman"/>
          <w:sz w:val="28"/>
          <w:szCs w:val="28"/>
          <w:lang w:val="uk-UA"/>
        </w:rPr>
        <w:br/>
        <w:t>2022 року № 171-у/2022 подовжила до 19 травня 2022 року</w:t>
      </w:r>
      <w:r w:rsidR="006D1860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строк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Панкеєва Олександра Вікторовича щодо відповідності Конституції України (конституційності) положень статті 294, частини шостої статті 383 Кодексу адміністративного судочинства України.</w:t>
      </w:r>
    </w:p>
    <w:p w:rsidR="00AD18EA" w:rsidRPr="00083F72" w:rsidRDefault="00AD18EA" w:rsidP="00530E4A">
      <w:pPr>
        <w:spacing w:line="324" w:lineRule="auto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083F72">
        <w:rPr>
          <w:rFonts w:cs="Times New Roman"/>
          <w:sz w:val="28"/>
          <w:szCs w:val="28"/>
          <w:lang w:val="uk-UA"/>
        </w:rPr>
        <w:t xml:space="preserve">У зв’язку з вирішенням процедурних питань суддя-доповідач звернувся з клопотанням про подовження строку для постановлення Другою колегією суддів </w:t>
      </w:r>
      <w:r w:rsidR="00256AB7">
        <w:rPr>
          <w:rFonts w:cs="Times New Roman"/>
          <w:sz w:val="28"/>
          <w:szCs w:val="28"/>
          <w:lang w:val="uk-UA"/>
        </w:rPr>
        <w:t>Першого</w:t>
      </w:r>
      <w:r w:rsidRPr="00083F72">
        <w:rPr>
          <w:rFonts w:cs="Times New Roman"/>
          <w:sz w:val="28"/>
          <w:szCs w:val="28"/>
          <w:lang w:val="uk-UA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</w:t>
      </w:r>
      <w:r w:rsidR="00256AB7" w:rsidRPr="00256AB7">
        <w:rPr>
          <w:rFonts w:cs="Times New Roman"/>
          <w:sz w:val="28"/>
          <w:szCs w:val="28"/>
          <w:lang w:val="uk-UA"/>
        </w:rPr>
        <w:t xml:space="preserve">за </w:t>
      </w:r>
      <w:r w:rsidR="004F2469" w:rsidRPr="004F2469">
        <w:rPr>
          <w:rFonts w:cs="Times New Roman"/>
          <w:sz w:val="28"/>
          <w:szCs w:val="28"/>
          <w:lang w:val="uk-UA"/>
        </w:rPr>
        <w:t xml:space="preserve">конституційною скаргою </w:t>
      </w:r>
      <w:r w:rsidR="009235E9" w:rsidRPr="009235E9">
        <w:rPr>
          <w:sz w:val="28"/>
          <w:szCs w:val="28"/>
          <w:lang w:val="uk-UA"/>
        </w:rPr>
        <w:t xml:space="preserve">Панкеєва Олександра Вікторовича щодо відповідності Конституції України (конституційності) положень статті 294, частини шостої статті 383 </w:t>
      </w:r>
      <w:r w:rsidR="009235E9" w:rsidRPr="009235E9">
        <w:rPr>
          <w:sz w:val="28"/>
          <w:szCs w:val="28"/>
          <w:lang w:val="uk-UA"/>
        </w:rPr>
        <w:lastRenderedPageBreak/>
        <w:t xml:space="preserve">Кодексу адміністративного судочинства України </w:t>
      </w:r>
      <w:r w:rsidRPr="00083F72">
        <w:rPr>
          <w:rFonts w:eastAsia="Times New Roman" w:cs="Times New Roman"/>
          <w:sz w:val="28"/>
          <w:szCs w:val="28"/>
          <w:lang w:val="uk-UA"/>
        </w:rPr>
        <w:t xml:space="preserve">(розподілено </w:t>
      </w:r>
      <w:r w:rsidR="009235E9">
        <w:rPr>
          <w:rFonts w:eastAsia="Times New Roman" w:cs="Times New Roman"/>
          <w:sz w:val="28"/>
          <w:szCs w:val="28"/>
          <w:lang w:val="uk-UA"/>
        </w:rPr>
        <w:t>3</w:t>
      </w:r>
      <w:r w:rsidRPr="00083F72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9235E9">
        <w:rPr>
          <w:rFonts w:eastAsia="Times New Roman" w:cs="Times New Roman"/>
          <w:sz w:val="28"/>
          <w:szCs w:val="28"/>
          <w:lang w:val="uk-UA"/>
        </w:rPr>
        <w:t>верес</w:t>
      </w:r>
      <w:r w:rsidR="00BA1435">
        <w:rPr>
          <w:rFonts w:eastAsia="Times New Roman" w:cs="Times New Roman"/>
          <w:sz w:val="28"/>
          <w:szCs w:val="28"/>
          <w:lang w:val="uk-UA"/>
        </w:rPr>
        <w:t>ня</w:t>
      </w:r>
      <w:r w:rsidR="00530E4A">
        <w:rPr>
          <w:rFonts w:eastAsia="Times New Roman" w:cs="Times New Roman"/>
          <w:sz w:val="28"/>
          <w:szCs w:val="28"/>
          <w:lang w:val="uk-UA"/>
        </w:rPr>
        <w:br/>
      </w:r>
      <w:r w:rsidRPr="00083F72">
        <w:rPr>
          <w:rFonts w:eastAsia="Times New Roman" w:cs="Times New Roman"/>
          <w:sz w:val="28"/>
          <w:szCs w:val="28"/>
          <w:lang w:val="uk-UA"/>
        </w:rPr>
        <w:t>20</w:t>
      </w:r>
      <w:r w:rsidR="002E5123">
        <w:rPr>
          <w:rFonts w:eastAsia="Times New Roman" w:cs="Times New Roman"/>
          <w:sz w:val="28"/>
          <w:szCs w:val="28"/>
          <w:lang w:val="uk-UA"/>
        </w:rPr>
        <w:t>21</w:t>
      </w:r>
      <w:r w:rsidRPr="00083F72">
        <w:rPr>
          <w:rFonts w:eastAsia="Times New Roman" w:cs="Times New Roman"/>
          <w:sz w:val="28"/>
          <w:szCs w:val="28"/>
          <w:lang w:val="uk-UA"/>
        </w:rPr>
        <w:t xml:space="preserve"> року судді Конституційного Суду України</w:t>
      </w:r>
      <w:r w:rsidR="007413C7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083F72">
        <w:rPr>
          <w:rFonts w:eastAsia="Times New Roman" w:cs="Times New Roman"/>
          <w:sz w:val="28"/>
          <w:szCs w:val="28"/>
          <w:lang w:val="uk-UA"/>
        </w:rPr>
        <w:t>С</w:t>
      </w:r>
      <w:r w:rsidR="00256AB7">
        <w:rPr>
          <w:rFonts w:eastAsia="Times New Roman" w:cs="Times New Roman"/>
          <w:sz w:val="28"/>
          <w:szCs w:val="28"/>
          <w:lang w:val="uk-UA"/>
        </w:rPr>
        <w:t>асу С</w:t>
      </w:r>
      <w:r w:rsidRPr="00083F72">
        <w:rPr>
          <w:rFonts w:eastAsia="Times New Roman" w:cs="Times New Roman"/>
          <w:sz w:val="28"/>
          <w:szCs w:val="28"/>
          <w:lang w:val="uk-UA"/>
        </w:rPr>
        <w:t>.</w:t>
      </w:r>
      <w:r w:rsidR="00256AB7">
        <w:rPr>
          <w:rFonts w:eastAsia="Times New Roman" w:cs="Times New Roman"/>
          <w:sz w:val="28"/>
          <w:szCs w:val="28"/>
          <w:lang w:val="uk-UA"/>
        </w:rPr>
        <w:t>В.</w:t>
      </w:r>
      <w:r w:rsidRPr="00083F72">
        <w:rPr>
          <w:rFonts w:eastAsia="Times New Roman" w:cs="Times New Roman"/>
          <w:sz w:val="28"/>
          <w:szCs w:val="28"/>
          <w:lang w:val="uk-UA"/>
        </w:rPr>
        <w:t>).</w:t>
      </w:r>
    </w:p>
    <w:p w:rsidR="00FC510F" w:rsidRDefault="00FC510F" w:rsidP="00FC510F">
      <w:pPr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AD18EA" w:rsidRDefault="00F74FD5" w:rsidP="00530E4A">
      <w:pPr>
        <w:spacing w:line="324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У</w:t>
      </w:r>
      <w:r w:rsidR="00AD18EA" w:rsidRPr="00083F72">
        <w:rPr>
          <w:rFonts w:cs="Times New Roman"/>
          <w:sz w:val="28"/>
          <w:szCs w:val="28"/>
          <w:lang w:val="uk-UA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4D1D06" w:rsidRDefault="004D1D06" w:rsidP="00FC510F">
      <w:pPr>
        <w:jc w:val="center"/>
        <w:rPr>
          <w:rFonts w:cs="Times New Roman"/>
          <w:b/>
          <w:sz w:val="28"/>
          <w:szCs w:val="28"/>
          <w:lang w:val="uk-UA"/>
        </w:rPr>
      </w:pPr>
    </w:p>
    <w:p w:rsidR="00AD18EA" w:rsidRPr="00083F72" w:rsidRDefault="00AD18EA" w:rsidP="00530E4A">
      <w:pPr>
        <w:spacing w:line="324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083F72">
        <w:rPr>
          <w:rFonts w:cs="Times New Roman"/>
          <w:b/>
          <w:sz w:val="28"/>
          <w:szCs w:val="28"/>
          <w:lang w:val="uk-UA"/>
        </w:rPr>
        <w:t>у х в а л и л а:</w:t>
      </w:r>
    </w:p>
    <w:p w:rsidR="00AD18EA" w:rsidRPr="00083F72" w:rsidRDefault="00AD18EA" w:rsidP="00FC510F">
      <w:pPr>
        <w:ind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AD18EA" w:rsidRDefault="00AD18EA" w:rsidP="00530E4A">
      <w:pPr>
        <w:spacing w:line="324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083F72">
        <w:rPr>
          <w:rFonts w:cs="Times New Roman"/>
          <w:sz w:val="28"/>
          <w:szCs w:val="28"/>
          <w:lang w:val="uk-UA"/>
        </w:rPr>
        <w:t xml:space="preserve">подовжити до </w:t>
      </w:r>
      <w:r w:rsidR="009F7305">
        <w:rPr>
          <w:rFonts w:cs="Times New Roman"/>
          <w:sz w:val="28"/>
          <w:szCs w:val="28"/>
          <w:lang w:val="uk-UA"/>
        </w:rPr>
        <w:t xml:space="preserve">16 червня 2022 року </w:t>
      </w:r>
      <w:r w:rsidRPr="00083F72">
        <w:rPr>
          <w:rFonts w:cs="Times New Roman"/>
          <w:sz w:val="28"/>
          <w:szCs w:val="28"/>
          <w:lang w:val="uk-UA"/>
        </w:rPr>
        <w:t xml:space="preserve">строк постановлення Другою колегією суддів </w:t>
      </w:r>
      <w:r w:rsidR="00256AB7">
        <w:rPr>
          <w:rFonts w:cs="Times New Roman"/>
          <w:sz w:val="28"/>
          <w:szCs w:val="28"/>
          <w:lang w:val="uk-UA"/>
        </w:rPr>
        <w:t>Першого</w:t>
      </w:r>
      <w:r w:rsidRPr="00083F72">
        <w:rPr>
          <w:rFonts w:cs="Times New Roman"/>
          <w:sz w:val="28"/>
          <w:szCs w:val="28"/>
          <w:lang w:val="uk-UA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</w:t>
      </w:r>
      <w:r w:rsidR="00256AB7" w:rsidRPr="00256AB7">
        <w:rPr>
          <w:rFonts w:cs="Times New Roman"/>
          <w:sz w:val="28"/>
          <w:szCs w:val="28"/>
          <w:lang w:val="uk-UA"/>
        </w:rPr>
        <w:t xml:space="preserve">за </w:t>
      </w:r>
      <w:r w:rsidR="004F2469" w:rsidRPr="004F2469">
        <w:rPr>
          <w:rFonts w:cs="Times New Roman"/>
          <w:sz w:val="28"/>
          <w:szCs w:val="28"/>
          <w:lang w:val="uk-UA"/>
        </w:rPr>
        <w:t xml:space="preserve">конституційною скаргою </w:t>
      </w:r>
      <w:r w:rsidR="009235E9" w:rsidRPr="009235E9">
        <w:rPr>
          <w:sz w:val="28"/>
          <w:szCs w:val="28"/>
          <w:lang w:val="uk-UA"/>
        </w:rPr>
        <w:t>Панкеєва Олександра Вікторовича щодо відповідності Конституції України (конституційності) положень статті 294, частини шостої статті 383 Кодексу адміністративного судочинства України</w:t>
      </w:r>
      <w:r w:rsidR="00BA1435" w:rsidRPr="00BA1435">
        <w:rPr>
          <w:rFonts w:cs="Times New Roman"/>
          <w:sz w:val="28"/>
          <w:szCs w:val="28"/>
          <w:lang w:val="uk-UA"/>
        </w:rPr>
        <w:t>.</w:t>
      </w:r>
    </w:p>
    <w:p w:rsidR="005F4971" w:rsidRDefault="005F4971" w:rsidP="00530E4A">
      <w:pPr>
        <w:spacing w:line="324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5F4971" w:rsidRDefault="005F4971" w:rsidP="00530E4A">
      <w:pPr>
        <w:spacing w:line="324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5F4971" w:rsidRPr="000902F8" w:rsidRDefault="005F4971" w:rsidP="005F4971">
      <w:pPr>
        <w:ind w:left="4254"/>
        <w:jc w:val="center"/>
        <w:rPr>
          <w:rFonts w:cs="Times New Roman"/>
          <w:b/>
          <w:caps/>
          <w:sz w:val="28"/>
          <w:szCs w:val="28"/>
          <w:lang w:val="uk-UA"/>
        </w:rPr>
      </w:pPr>
      <w:r w:rsidRPr="000902F8">
        <w:rPr>
          <w:rFonts w:cs="Times New Roman"/>
          <w:b/>
          <w:caps/>
          <w:sz w:val="28"/>
          <w:szCs w:val="28"/>
          <w:lang w:val="uk-UA"/>
        </w:rPr>
        <w:t>Велика палата</w:t>
      </w:r>
    </w:p>
    <w:p w:rsidR="005F4971" w:rsidRPr="00773C9E" w:rsidRDefault="005F4971" w:rsidP="005F4971">
      <w:pPr>
        <w:ind w:left="4254"/>
        <w:jc w:val="center"/>
        <w:rPr>
          <w:rFonts w:eastAsia="Times New Roman" w:cs="Times New Roman"/>
          <w:sz w:val="28"/>
          <w:szCs w:val="28"/>
          <w:lang w:val="uk-UA" w:bidi="ar-SA"/>
        </w:rPr>
      </w:pPr>
      <w:r w:rsidRPr="000902F8">
        <w:rPr>
          <w:rFonts w:cs="Times New Roman"/>
          <w:b/>
          <w:caps/>
          <w:sz w:val="28"/>
          <w:szCs w:val="28"/>
          <w:lang w:val="uk-UA"/>
        </w:rPr>
        <w:t>Конституційного Суду України</w:t>
      </w:r>
    </w:p>
    <w:p w:rsidR="005F4971" w:rsidRDefault="005F4971" w:rsidP="005F4971">
      <w:pPr>
        <w:jc w:val="both"/>
        <w:rPr>
          <w:sz w:val="28"/>
          <w:szCs w:val="28"/>
          <w:lang w:val="uk-UA"/>
        </w:rPr>
      </w:pPr>
    </w:p>
    <w:p w:rsidR="005F4971" w:rsidRDefault="005F4971" w:rsidP="00530E4A">
      <w:pPr>
        <w:spacing w:line="324" w:lineRule="auto"/>
        <w:ind w:firstLine="709"/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083F72" w:rsidRDefault="00083F72" w:rsidP="00083F72">
      <w:pPr>
        <w:ind w:firstLine="709"/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FC510F" w:rsidRPr="00FC510F" w:rsidRDefault="00FC510F" w:rsidP="00083F72">
      <w:pPr>
        <w:ind w:firstLine="709"/>
        <w:jc w:val="both"/>
        <w:rPr>
          <w:rFonts w:eastAsia="Times New Roman" w:cs="Times New Roman"/>
          <w:sz w:val="2"/>
          <w:szCs w:val="2"/>
          <w:lang w:val="uk-UA" w:eastAsia="uk-UA"/>
        </w:rPr>
      </w:pPr>
      <w:bookmarkStart w:id="0" w:name="_GoBack"/>
      <w:bookmarkEnd w:id="0"/>
    </w:p>
    <w:sectPr w:rsidR="00FC510F" w:rsidRPr="00FC510F" w:rsidSect="00123B7C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95F" w:rsidRDefault="007A095F">
      <w:r>
        <w:separator/>
      </w:r>
    </w:p>
  </w:endnote>
  <w:endnote w:type="continuationSeparator" w:id="0">
    <w:p w:rsidR="007A095F" w:rsidRDefault="007A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10F" w:rsidRPr="00FC510F" w:rsidRDefault="00FC510F">
    <w:pPr>
      <w:pStyle w:val="a7"/>
      <w:rPr>
        <w:sz w:val="10"/>
        <w:szCs w:val="10"/>
      </w:rPr>
    </w:pPr>
    <w:r w:rsidRPr="00FC510F">
      <w:rPr>
        <w:sz w:val="10"/>
        <w:szCs w:val="10"/>
      </w:rPr>
      <w:fldChar w:fldCharType="begin"/>
    </w:r>
    <w:r w:rsidRPr="00FC510F">
      <w:rPr>
        <w:sz w:val="10"/>
        <w:szCs w:val="10"/>
        <w:lang w:val="uk-UA"/>
      </w:rPr>
      <w:instrText xml:space="preserve"> FILENAME \p \* MERGEFORMAT </w:instrText>
    </w:r>
    <w:r w:rsidRPr="00FC510F">
      <w:rPr>
        <w:sz w:val="10"/>
        <w:szCs w:val="10"/>
      </w:rPr>
      <w:fldChar w:fldCharType="separate"/>
    </w:r>
    <w:r w:rsidR="005F4971">
      <w:rPr>
        <w:noProof/>
        <w:sz w:val="10"/>
        <w:szCs w:val="10"/>
        <w:lang w:val="uk-UA"/>
      </w:rPr>
      <w:t>G:\2022\Suddi\Uhvala VP\286.docx</w:t>
    </w:r>
    <w:r w:rsidRPr="00FC510F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10F" w:rsidRPr="00FC510F" w:rsidRDefault="00FC510F">
    <w:pPr>
      <w:pStyle w:val="a7"/>
      <w:rPr>
        <w:sz w:val="10"/>
        <w:szCs w:val="10"/>
      </w:rPr>
    </w:pPr>
    <w:r w:rsidRPr="00FC510F">
      <w:rPr>
        <w:sz w:val="10"/>
        <w:szCs w:val="10"/>
      </w:rPr>
      <w:fldChar w:fldCharType="begin"/>
    </w:r>
    <w:r w:rsidRPr="00FC510F">
      <w:rPr>
        <w:sz w:val="10"/>
        <w:szCs w:val="10"/>
        <w:lang w:val="uk-UA"/>
      </w:rPr>
      <w:instrText xml:space="preserve"> FILENAME \p \* MERGEFORMAT </w:instrText>
    </w:r>
    <w:r w:rsidRPr="00FC510F">
      <w:rPr>
        <w:sz w:val="10"/>
        <w:szCs w:val="10"/>
      </w:rPr>
      <w:fldChar w:fldCharType="separate"/>
    </w:r>
    <w:r w:rsidR="005F4971">
      <w:rPr>
        <w:noProof/>
        <w:sz w:val="10"/>
        <w:szCs w:val="10"/>
        <w:lang w:val="uk-UA"/>
      </w:rPr>
      <w:t>G:\2022\Suddi\Uhvala VP\286.docx</w:t>
    </w:r>
    <w:r w:rsidRPr="00FC510F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95F" w:rsidRDefault="007A095F">
      <w:r>
        <w:separator/>
      </w:r>
    </w:p>
  </w:footnote>
  <w:footnote w:type="continuationSeparator" w:id="0">
    <w:p w:rsidR="007A095F" w:rsidRDefault="007A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B7C" w:rsidRPr="00CE6FA8" w:rsidRDefault="00385552" w:rsidP="00123B7C">
    <w:pPr>
      <w:pStyle w:val="a3"/>
      <w:jc w:val="center"/>
      <w:rPr>
        <w:sz w:val="28"/>
        <w:szCs w:val="28"/>
      </w:rPr>
    </w:pPr>
    <w:r w:rsidRPr="00CE6FA8">
      <w:rPr>
        <w:sz w:val="28"/>
        <w:szCs w:val="28"/>
      </w:rPr>
      <w:fldChar w:fldCharType="begin"/>
    </w:r>
    <w:r w:rsidRPr="00CE6FA8">
      <w:rPr>
        <w:sz w:val="28"/>
        <w:szCs w:val="28"/>
      </w:rPr>
      <w:instrText>PAGE   \* MERGEFORMAT</w:instrText>
    </w:r>
    <w:r w:rsidRPr="00CE6FA8">
      <w:rPr>
        <w:sz w:val="28"/>
        <w:szCs w:val="28"/>
      </w:rPr>
      <w:fldChar w:fldCharType="separate"/>
    </w:r>
    <w:r w:rsidR="005F4971" w:rsidRPr="005F4971">
      <w:rPr>
        <w:noProof/>
        <w:sz w:val="28"/>
        <w:szCs w:val="28"/>
        <w:lang w:val="uk-UA"/>
      </w:rPr>
      <w:t>3</w:t>
    </w:r>
    <w:r w:rsidRPr="00CE6FA8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EA"/>
    <w:rsid w:val="00015027"/>
    <w:rsid w:val="00037C4B"/>
    <w:rsid w:val="00075FE7"/>
    <w:rsid w:val="00083F72"/>
    <w:rsid w:val="000874F3"/>
    <w:rsid w:val="000A2ED9"/>
    <w:rsid w:val="000B42A9"/>
    <w:rsid w:val="000F071D"/>
    <w:rsid w:val="00107CAA"/>
    <w:rsid w:val="00116C08"/>
    <w:rsid w:val="00123B7C"/>
    <w:rsid w:val="00142078"/>
    <w:rsid w:val="001445BD"/>
    <w:rsid w:val="001D2CC6"/>
    <w:rsid w:val="00204A7F"/>
    <w:rsid w:val="002106C6"/>
    <w:rsid w:val="00211942"/>
    <w:rsid w:val="00211B41"/>
    <w:rsid w:val="00256AB7"/>
    <w:rsid w:val="00261758"/>
    <w:rsid w:val="002759E3"/>
    <w:rsid w:val="002815D0"/>
    <w:rsid w:val="00286DB9"/>
    <w:rsid w:val="002A2798"/>
    <w:rsid w:val="002C5C05"/>
    <w:rsid w:val="002C6D46"/>
    <w:rsid w:val="002E5123"/>
    <w:rsid w:val="002F49A7"/>
    <w:rsid w:val="00324A65"/>
    <w:rsid w:val="003366EE"/>
    <w:rsid w:val="00362C18"/>
    <w:rsid w:val="003665D5"/>
    <w:rsid w:val="00385552"/>
    <w:rsid w:val="003A5CF4"/>
    <w:rsid w:val="00412DF4"/>
    <w:rsid w:val="0042707F"/>
    <w:rsid w:val="004367D0"/>
    <w:rsid w:val="004D1D06"/>
    <w:rsid w:val="004D6C32"/>
    <w:rsid w:val="004F2469"/>
    <w:rsid w:val="004F3046"/>
    <w:rsid w:val="00507EA5"/>
    <w:rsid w:val="00510882"/>
    <w:rsid w:val="005118B3"/>
    <w:rsid w:val="00530E4A"/>
    <w:rsid w:val="005319B4"/>
    <w:rsid w:val="00545EBD"/>
    <w:rsid w:val="00573C08"/>
    <w:rsid w:val="00586443"/>
    <w:rsid w:val="00595ABA"/>
    <w:rsid w:val="005E5376"/>
    <w:rsid w:val="005F4971"/>
    <w:rsid w:val="006651DD"/>
    <w:rsid w:val="006B1AE3"/>
    <w:rsid w:val="006C16A6"/>
    <w:rsid w:val="006D1860"/>
    <w:rsid w:val="006E076E"/>
    <w:rsid w:val="007025CC"/>
    <w:rsid w:val="00704A93"/>
    <w:rsid w:val="007413C7"/>
    <w:rsid w:val="00751205"/>
    <w:rsid w:val="00757C05"/>
    <w:rsid w:val="007849AC"/>
    <w:rsid w:val="007A095F"/>
    <w:rsid w:val="007B7060"/>
    <w:rsid w:val="007C2035"/>
    <w:rsid w:val="007E1876"/>
    <w:rsid w:val="007E4799"/>
    <w:rsid w:val="00870814"/>
    <w:rsid w:val="008C670B"/>
    <w:rsid w:val="008D1AF3"/>
    <w:rsid w:val="008E0101"/>
    <w:rsid w:val="008F13BB"/>
    <w:rsid w:val="009235E9"/>
    <w:rsid w:val="009664DA"/>
    <w:rsid w:val="009A0F3B"/>
    <w:rsid w:val="009B7385"/>
    <w:rsid w:val="009D072B"/>
    <w:rsid w:val="009E72D2"/>
    <w:rsid w:val="009F7305"/>
    <w:rsid w:val="00A13654"/>
    <w:rsid w:val="00A46850"/>
    <w:rsid w:val="00AD18EA"/>
    <w:rsid w:val="00AD3547"/>
    <w:rsid w:val="00B07705"/>
    <w:rsid w:val="00B349AC"/>
    <w:rsid w:val="00B43A4A"/>
    <w:rsid w:val="00B577B2"/>
    <w:rsid w:val="00B6093F"/>
    <w:rsid w:val="00BA1435"/>
    <w:rsid w:val="00BB5821"/>
    <w:rsid w:val="00BD595E"/>
    <w:rsid w:val="00BD7D5D"/>
    <w:rsid w:val="00C1368F"/>
    <w:rsid w:val="00C15BEA"/>
    <w:rsid w:val="00C17CBA"/>
    <w:rsid w:val="00C42BCB"/>
    <w:rsid w:val="00C7613C"/>
    <w:rsid w:val="00CB29CC"/>
    <w:rsid w:val="00D43388"/>
    <w:rsid w:val="00DD7A35"/>
    <w:rsid w:val="00E260E6"/>
    <w:rsid w:val="00E263A1"/>
    <w:rsid w:val="00E31B17"/>
    <w:rsid w:val="00E33B47"/>
    <w:rsid w:val="00E378EC"/>
    <w:rsid w:val="00E75419"/>
    <w:rsid w:val="00E80C91"/>
    <w:rsid w:val="00E942E0"/>
    <w:rsid w:val="00EA6DC7"/>
    <w:rsid w:val="00ED33D3"/>
    <w:rsid w:val="00F1542E"/>
    <w:rsid w:val="00F244C5"/>
    <w:rsid w:val="00F507FA"/>
    <w:rsid w:val="00F624B1"/>
    <w:rsid w:val="00F74FD5"/>
    <w:rsid w:val="00F85F39"/>
    <w:rsid w:val="00FA3C85"/>
    <w:rsid w:val="00FA6FBF"/>
    <w:rsid w:val="00FB29F8"/>
    <w:rsid w:val="00FC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3C30"/>
  <w15:chartTrackingRefBased/>
  <w15:docId w15:val="{761DF78F-60E6-42EB-923E-1740ACBD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8EA"/>
    <w:rPr>
      <w:rFonts w:ascii="Times New Roman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083F72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AD18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link w:val="HTML"/>
    <w:uiPriority w:val="99"/>
    <w:rsid w:val="00AD18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AD18EA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link w:val="a3"/>
    <w:rsid w:val="00AD18EA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116C08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link w:val="a5"/>
    <w:uiPriority w:val="99"/>
    <w:semiHidden/>
    <w:rsid w:val="00116C08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link w:val="1"/>
    <w:rsid w:val="00083F72"/>
    <w:rPr>
      <w:rFonts w:ascii="Times New Roman" w:eastAsia="Times New Roman" w:hAnsi="Times New Roman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083F7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link w:val="a7"/>
    <w:uiPriority w:val="99"/>
    <w:rsid w:val="00083F72"/>
    <w:rPr>
      <w:rFonts w:ascii="Times New Roman" w:hAnsi="Times New Roman" w:cs="Mangal"/>
      <w:sz w:val="24"/>
      <w:szCs w:val="21"/>
      <w:lang w:val="ru-RU"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2643</Words>
  <Characters>1507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Карелова</dc:creator>
  <cp:keywords/>
  <dc:description/>
  <cp:lastModifiedBy>Олена Б. Алєксєйченко</cp:lastModifiedBy>
  <cp:revision>4</cp:revision>
  <cp:lastPrinted>2022-05-27T07:40:00Z</cp:lastPrinted>
  <dcterms:created xsi:type="dcterms:W3CDTF">2022-05-18T06:02:00Z</dcterms:created>
  <dcterms:modified xsi:type="dcterms:W3CDTF">2022-05-27T07:40:00Z</dcterms:modified>
</cp:coreProperties>
</file>