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0F" w:rsidRDefault="00A3260F" w:rsidP="00A3260F">
      <w:pPr>
        <w:pStyle w:val="a3"/>
        <w:ind w:firstLine="0"/>
        <w:rPr>
          <w:szCs w:val="28"/>
        </w:rPr>
      </w:pPr>
    </w:p>
    <w:p w:rsidR="00A3260F" w:rsidRDefault="00A3260F" w:rsidP="00A3260F">
      <w:pPr>
        <w:pStyle w:val="a3"/>
        <w:ind w:firstLine="0"/>
        <w:rPr>
          <w:szCs w:val="28"/>
        </w:rPr>
      </w:pPr>
    </w:p>
    <w:p w:rsidR="00A3260F" w:rsidRDefault="00A3260F" w:rsidP="00A3260F">
      <w:pPr>
        <w:pStyle w:val="a3"/>
        <w:ind w:firstLine="0"/>
        <w:rPr>
          <w:szCs w:val="28"/>
        </w:rPr>
      </w:pPr>
    </w:p>
    <w:p w:rsidR="00A3260F" w:rsidRDefault="00A3260F" w:rsidP="00A3260F">
      <w:pPr>
        <w:pStyle w:val="a3"/>
        <w:ind w:firstLine="0"/>
        <w:rPr>
          <w:szCs w:val="28"/>
        </w:rPr>
      </w:pPr>
    </w:p>
    <w:p w:rsidR="00A3260F" w:rsidRDefault="00A3260F" w:rsidP="00A3260F">
      <w:pPr>
        <w:pStyle w:val="a3"/>
        <w:ind w:firstLine="0"/>
        <w:rPr>
          <w:szCs w:val="28"/>
        </w:rPr>
      </w:pPr>
    </w:p>
    <w:p w:rsidR="00A3260F" w:rsidRDefault="00A3260F" w:rsidP="00A3260F">
      <w:pPr>
        <w:pStyle w:val="a3"/>
        <w:ind w:firstLine="0"/>
        <w:rPr>
          <w:szCs w:val="28"/>
        </w:rPr>
      </w:pPr>
    </w:p>
    <w:p w:rsidR="00A3260F" w:rsidRDefault="00A3260F" w:rsidP="00A3260F">
      <w:pPr>
        <w:pStyle w:val="a3"/>
        <w:ind w:firstLine="0"/>
        <w:rPr>
          <w:szCs w:val="28"/>
        </w:rPr>
      </w:pPr>
    </w:p>
    <w:p w:rsidR="003A73DE" w:rsidRPr="00A3260F" w:rsidRDefault="00C530A7" w:rsidP="00A3260F">
      <w:pPr>
        <w:pStyle w:val="a3"/>
        <w:tabs>
          <w:tab w:val="center" w:pos="4820"/>
        </w:tabs>
        <w:ind w:firstLine="0"/>
        <w:rPr>
          <w:szCs w:val="28"/>
        </w:rPr>
      </w:pPr>
      <w:r w:rsidRPr="00A3260F">
        <w:rPr>
          <w:szCs w:val="28"/>
        </w:rPr>
        <w:t>п</w:t>
      </w:r>
      <w:r w:rsidR="00B36C0E" w:rsidRPr="00A3260F">
        <w:rPr>
          <w:szCs w:val="28"/>
        </w:rPr>
        <w:t xml:space="preserve">ро відмову у відкритті конституційного провадження </w:t>
      </w:r>
      <w:r w:rsidR="00F231AB" w:rsidRPr="00A3260F">
        <w:rPr>
          <w:szCs w:val="28"/>
        </w:rPr>
        <w:t xml:space="preserve">у справі за конституційною скаргою </w:t>
      </w:r>
      <w:r w:rsidR="00685CE1" w:rsidRPr="00A3260F">
        <w:rPr>
          <w:szCs w:val="28"/>
        </w:rPr>
        <w:t>Рожена Олексія Леонідовича</w:t>
      </w:r>
      <w:r w:rsidR="00E63061" w:rsidRPr="00A3260F">
        <w:rPr>
          <w:szCs w:val="28"/>
        </w:rPr>
        <w:t xml:space="preserve"> </w:t>
      </w:r>
      <w:r w:rsidR="00C63E23" w:rsidRPr="00A3260F">
        <w:rPr>
          <w:szCs w:val="28"/>
          <w:lang w:eastAsia="uk-UA"/>
        </w:rPr>
        <w:t xml:space="preserve">щодо відповідності Конституції України (конституційності) </w:t>
      </w:r>
      <w:r w:rsidR="00E63061" w:rsidRPr="00A3260F">
        <w:rPr>
          <w:szCs w:val="28"/>
        </w:rPr>
        <w:t>окремого положення</w:t>
      </w:r>
      <w:r w:rsidR="00A3260F">
        <w:rPr>
          <w:szCs w:val="28"/>
        </w:rPr>
        <w:br/>
      </w:r>
      <w:r w:rsidR="00685CE1" w:rsidRPr="00A3260F">
        <w:rPr>
          <w:szCs w:val="28"/>
        </w:rPr>
        <w:t xml:space="preserve">абзацу першого пункту </w:t>
      </w:r>
      <w:r w:rsidR="00685CE1" w:rsidRPr="00A3260F">
        <w:rPr>
          <w:szCs w:val="28"/>
          <w:lang w:eastAsia="uk-UA"/>
        </w:rPr>
        <w:t xml:space="preserve">„б“ </w:t>
      </w:r>
      <w:r w:rsidR="00685CE1" w:rsidRPr="00A3260F">
        <w:rPr>
          <w:szCs w:val="28"/>
        </w:rPr>
        <w:t xml:space="preserve">частини </w:t>
      </w:r>
      <w:r w:rsidR="00A3260F">
        <w:rPr>
          <w:szCs w:val="28"/>
        </w:rPr>
        <w:t>першої статті 12 Закону України</w:t>
      </w:r>
      <w:r w:rsidR="00A3260F">
        <w:rPr>
          <w:szCs w:val="28"/>
        </w:rPr>
        <w:br/>
      </w:r>
      <w:r w:rsidR="00685CE1" w:rsidRPr="00A3260F">
        <w:rPr>
          <w:szCs w:val="28"/>
        </w:rPr>
        <w:t xml:space="preserve">„Про пенсійне забезпечення осіб, звільнених з військової служби, та деяких </w:t>
      </w:r>
      <w:r w:rsidR="00A3260F">
        <w:rPr>
          <w:szCs w:val="28"/>
        </w:rPr>
        <w:br/>
      </w:r>
      <w:r w:rsidR="00A3260F">
        <w:rPr>
          <w:szCs w:val="28"/>
        </w:rPr>
        <w:tab/>
      </w:r>
      <w:r w:rsidR="00685CE1" w:rsidRPr="00A3260F">
        <w:rPr>
          <w:szCs w:val="28"/>
        </w:rPr>
        <w:t>інших осіб</w:t>
      </w:r>
      <w:r w:rsidR="00E63061" w:rsidRPr="00A3260F">
        <w:rPr>
          <w:szCs w:val="28"/>
          <w:lang w:eastAsia="uk-UA"/>
        </w:rPr>
        <w:t>“</w:t>
      </w:r>
      <w:r w:rsidR="00E63061" w:rsidRPr="00A3260F">
        <w:rPr>
          <w:szCs w:val="28"/>
        </w:rPr>
        <w:t xml:space="preserve"> </w:t>
      </w:r>
    </w:p>
    <w:p w:rsidR="00685CE1" w:rsidRDefault="00685CE1" w:rsidP="00A3260F">
      <w:pPr>
        <w:pStyle w:val="a3"/>
        <w:ind w:firstLine="0"/>
        <w:rPr>
          <w:szCs w:val="28"/>
        </w:rPr>
      </w:pPr>
    </w:p>
    <w:p w:rsidR="00A3260F" w:rsidRPr="00A3260F" w:rsidRDefault="00A3260F" w:rsidP="00A3260F">
      <w:pPr>
        <w:pStyle w:val="a3"/>
        <w:ind w:firstLine="0"/>
        <w:rPr>
          <w:szCs w:val="28"/>
        </w:rPr>
      </w:pPr>
    </w:p>
    <w:p w:rsidR="00B36C0E" w:rsidRPr="00A3260F" w:rsidRDefault="00B36C0E" w:rsidP="00A3260F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Справа </w:t>
      </w:r>
      <w:r w:rsidR="00F231AB"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>№ 3-</w:t>
      </w:r>
      <w:r w:rsidR="00685CE1"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>216</w:t>
      </w:r>
      <w:r w:rsidR="00F231AB"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>/202</w:t>
      </w:r>
      <w:r w:rsidR="00685CE1"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>4(433</w:t>
      </w:r>
      <w:r w:rsidR="003C75B6"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>/2</w:t>
      </w:r>
      <w:r w:rsidR="0012235A"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F231AB" w:rsidRPr="00A3260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B36C0E" w:rsidRPr="00A3260F" w:rsidRDefault="00F30F94" w:rsidP="00A3260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26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 </w:t>
      </w:r>
      <w:r w:rsidR="00685CE1" w:rsidRPr="00A3260F">
        <w:rPr>
          <w:rFonts w:ascii="Times New Roman" w:hAnsi="Times New Roman" w:cs="Times New Roman"/>
          <w:sz w:val="28"/>
          <w:szCs w:val="28"/>
        </w:rPr>
        <w:t>січня</w:t>
      </w:r>
      <w:r w:rsidR="00F231AB" w:rsidRPr="00A3260F">
        <w:rPr>
          <w:rFonts w:ascii="Times New Roman" w:hAnsi="Times New Roman" w:cs="Times New Roman"/>
          <w:sz w:val="28"/>
          <w:szCs w:val="28"/>
        </w:rPr>
        <w:t xml:space="preserve"> </w:t>
      </w:r>
      <w:r w:rsidR="00CF4601" w:rsidRPr="00A3260F">
        <w:rPr>
          <w:rFonts w:ascii="Times New Roman" w:hAnsi="Times New Roman" w:cs="Times New Roman"/>
          <w:sz w:val="28"/>
          <w:szCs w:val="28"/>
        </w:rPr>
        <w:t>202</w:t>
      </w:r>
      <w:r w:rsidR="00685CE1" w:rsidRPr="00A3260F">
        <w:rPr>
          <w:rFonts w:ascii="Times New Roman" w:hAnsi="Times New Roman" w:cs="Times New Roman"/>
          <w:sz w:val="28"/>
          <w:szCs w:val="28"/>
        </w:rPr>
        <w:t>5</w:t>
      </w:r>
      <w:r w:rsidR="00B36C0E" w:rsidRPr="00A3260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A3260F" w:rsidRDefault="00B36C0E" w:rsidP="00A3260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60F">
        <w:rPr>
          <w:rFonts w:ascii="Times New Roman" w:hAnsi="Times New Roman" w:cs="Times New Roman"/>
          <w:sz w:val="28"/>
          <w:szCs w:val="28"/>
        </w:rPr>
        <w:t xml:space="preserve">№ </w:t>
      </w:r>
      <w:r w:rsidR="00F30F94" w:rsidRPr="00A3260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21FF" w:rsidRPr="00A3260F">
        <w:rPr>
          <w:rFonts w:ascii="Times New Roman" w:hAnsi="Times New Roman" w:cs="Times New Roman"/>
          <w:sz w:val="28"/>
          <w:szCs w:val="28"/>
        </w:rPr>
        <w:t>-</w:t>
      </w:r>
      <w:r w:rsidR="001E3E8E" w:rsidRPr="00A3260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02FBE" w:rsidRPr="00A3260F">
        <w:rPr>
          <w:rFonts w:ascii="Times New Roman" w:hAnsi="Times New Roman" w:cs="Times New Roman"/>
          <w:sz w:val="28"/>
          <w:szCs w:val="28"/>
        </w:rPr>
        <w:t>(І)</w:t>
      </w:r>
      <w:r w:rsidR="00424FAC" w:rsidRPr="00A3260F">
        <w:rPr>
          <w:rFonts w:ascii="Times New Roman" w:hAnsi="Times New Roman" w:cs="Times New Roman"/>
          <w:sz w:val="28"/>
          <w:szCs w:val="28"/>
        </w:rPr>
        <w:t>/202</w:t>
      </w:r>
      <w:r w:rsidR="00690EAA" w:rsidRPr="00A3260F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B36C0E" w:rsidRDefault="00B36C0E" w:rsidP="00A3260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3260F" w:rsidRPr="00A3260F" w:rsidRDefault="00A3260F" w:rsidP="00A3260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2FBE" w:rsidRPr="00A3260F" w:rsidRDefault="00C02FBE" w:rsidP="00A326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C02FBE" w:rsidRPr="00A3260F" w:rsidRDefault="00C02FBE" w:rsidP="00A3260F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2FBE" w:rsidRPr="00A3260F" w:rsidRDefault="00C02FBE" w:rsidP="00A3260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260F">
        <w:rPr>
          <w:rFonts w:ascii="Times New Roman" w:hAnsi="Times New Roman" w:cs="Times New Roman"/>
          <w:sz w:val="28"/>
          <w:szCs w:val="28"/>
        </w:rPr>
        <w:t xml:space="preserve">Кривенка Віктора Васильовича </w:t>
      </w:r>
      <w:r w:rsidRPr="00A3260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60F">
        <w:rPr>
          <w:rFonts w:ascii="Times New Roman" w:hAnsi="Times New Roman" w:cs="Times New Roman"/>
          <w:sz w:val="28"/>
          <w:szCs w:val="28"/>
        </w:rPr>
        <w:t xml:space="preserve">  </w:t>
      </w: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</w:t>
      </w:r>
    </w:p>
    <w:p w:rsidR="00E63061" w:rsidRPr="00A3260F" w:rsidRDefault="00E63061" w:rsidP="00A3260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:rsidR="00C02FBE" w:rsidRPr="00A3260F" w:rsidRDefault="00C02FBE" w:rsidP="00A3260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260F">
        <w:rPr>
          <w:rFonts w:ascii="Times New Roman" w:hAnsi="Times New Roman" w:cs="Times New Roman"/>
          <w:sz w:val="28"/>
          <w:szCs w:val="28"/>
        </w:rPr>
        <w:t xml:space="preserve">Петришина Олександра Віталійовича </w:t>
      </w:r>
      <w:r w:rsidRPr="00A3260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60F">
        <w:rPr>
          <w:rFonts w:ascii="Times New Roman" w:hAnsi="Times New Roman" w:cs="Times New Roman"/>
          <w:sz w:val="28"/>
          <w:szCs w:val="28"/>
        </w:rPr>
        <w:t xml:space="preserve"> доповідача</w:t>
      </w: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02FBE" w:rsidRPr="00A3260F" w:rsidRDefault="00C02FBE" w:rsidP="00A3260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5D8" w:rsidRPr="00A3260F" w:rsidRDefault="00C02FBE" w:rsidP="00A3260F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0F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85CE1" w:rsidRPr="00A3260F">
        <w:rPr>
          <w:rFonts w:ascii="Times New Roman" w:hAnsi="Times New Roman" w:cs="Times New Roman"/>
          <w:sz w:val="28"/>
          <w:szCs w:val="28"/>
          <w:lang w:eastAsia="uk-UA"/>
        </w:rPr>
        <w:t>Рожена Олексія Леонідовича щодо відповідності Конституції України (конституційності) окремого положення абзацу першого пункту „б“  частини першої статті 12 Закону України „Про пенсійне забезпечення осіб, звільнених з військової служби, та деяких інших осіб“</w:t>
      </w:r>
      <w:r w:rsidR="00E63061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 від </w:t>
      </w:r>
      <w:r w:rsidR="00685CE1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9 квітня 1992 року № 2262–ХІІ </w:t>
      </w:r>
      <w:r w:rsidR="006D6E8D" w:rsidRPr="00A3260F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685CE1" w:rsidRPr="00A3260F">
        <w:rPr>
          <w:rFonts w:ascii="Times New Roman" w:hAnsi="Times New Roman" w:cs="Times New Roman"/>
          <w:sz w:val="28"/>
          <w:szCs w:val="28"/>
          <w:lang w:eastAsia="uk-UA"/>
        </w:rPr>
        <w:t>Відомості Верховної Ради України, 1992</w:t>
      </w:r>
      <w:r w:rsidR="00602379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 р.</w:t>
      </w:r>
      <w:r w:rsidR="00685CE1" w:rsidRPr="00A3260F">
        <w:rPr>
          <w:rFonts w:ascii="Times New Roman" w:hAnsi="Times New Roman" w:cs="Times New Roman"/>
          <w:sz w:val="28"/>
          <w:szCs w:val="28"/>
          <w:lang w:eastAsia="uk-UA"/>
        </w:rPr>
        <w:t>, № 29, ст.</w:t>
      </w:r>
      <w:r w:rsidR="00690EAA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85CE1" w:rsidRPr="00A3260F">
        <w:rPr>
          <w:rFonts w:ascii="Times New Roman" w:hAnsi="Times New Roman" w:cs="Times New Roman"/>
          <w:sz w:val="28"/>
          <w:szCs w:val="28"/>
          <w:lang w:eastAsia="uk-UA"/>
        </w:rPr>
        <w:t>399</w:t>
      </w:r>
      <w:r w:rsidR="006D6E8D" w:rsidRPr="00A3260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602379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C530A7" w:rsidRPr="00A3260F">
        <w:rPr>
          <w:rFonts w:ascii="Times New Roman" w:hAnsi="Times New Roman" w:cs="Times New Roman"/>
          <w:sz w:val="28"/>
          <w:szCs w:val="28"/>
        </w:rPr>
        <w:t>.</w:t>
      </w:r>
    </w:p>
    <w:p w:rsidR="00A3260F" w:rsidRDefault="00A3260F" w:rsidP="00A3260F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FBE" w:rsidRPr="00A3260F" w:rsidRDefault="00B36C0E" w:rsidP="00A3260F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F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8720B3" w:rsidRPr="00A3260F">
        <w:rPr>
          <w:rFonts w:ascii="Times New Roman" w:hAnsi="Times New Roman" w:cs="Times New Roman"/>
          <w:sz w:val="28"/>
          <w:szCs w:val="28"/>
        </w:rPr>
        <w:t>Петришина О.В.</w:t>
      </w:r>
      <w:r w:rsidR="002F6755" w:rsidRPr="00A3260F">
        <w:rPr>
          <w:rFonts w:ascii="Times New Roman" w:hAnsi="Times New Roman" w:cs="Times New Roman"/>
          <w:sz w:val="28"/>
          <w:szCs w:val="28"/>
        </w:rPr>
        <w:t xml:space="preserve"> та дослідивши матеріали справи</w:t>
      </w:r>
      <w:r w:rsidRPr="00A3260F">
        <w:rPr>
          <w:rFonts w:ascii="Times New Roman" w:hAnsi="Times New Roman" w:cs="Times New Roman"/>
          <w:sz w:val="28"/>
          <w:szCs w:val="28"/>
        </w:rPr>
        <w:t xml:space="preserve">, </w:t>
      </w:r>
      <w:r w:rsidR="00C02FBE"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</w:t>
      </w:r>
      <w:r w:rsidR="00C02FBE" w:rsidRPr="00A326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FBE" w:rsidRDefault="00C02FBE" w:rsidP="00A3260F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0F" w:rsidRPr="00A3260F" w:rsidRDefault="00A3260F" w:rsidP="00A3260F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0E" w:rsidRPr="00A3260F" w:rsidRDefault="00B36C0E" w:rsidP="00A3260F">
      <w:pPr>
        <w:widowControl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0F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</w:t>
      </w:r>
      <w:r w:rsidR="00836A0D" w:rsidRPr="00A326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3260F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A3260F" w:rsidRDefault="00B36C0E" w:rsidP="00A326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A3260F" w:rsidRDefault="00C02FBE" w:rsidP="00A3260F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60F">
        <w:rPr>
          <w:rFonts w:ascii="Times New Roman" w:hAnsi="Times New Roman" w:cs="Times New Roman"/>
          <w:sz w:val="28"/>
          <w:szCs w:val="28"/>
        </w:rPr>
        <w:t xml:space="preserve">1. 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До Конституційного Суду України зверну</w:t>
      </w:r>
      <w:r w:rsidR="00DA703A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вся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AA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85CE1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ожен О.Л.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059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клопотанням перевірити на відповідність </w:t>
      </w:r>
      <w:r w:rsidR="00685CE1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частині другій статті 3, частинам другій, третій статті 8, статті 9, частинам першій, другій статті 24, частині першій статті 46, статті 64 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Конституції України </w:t>
      </w:r>
      <w:r w:rsidR="00AF7AB3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(конституційність) </w:t>
      </w:r>
      <w:r w:rsidR="00E63061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окреме </w:t>
      </w:r>
      <w:r w:rsidR="00A3260F">
        <w:rPr>
          <w:rFonts w:ascii="Times New Roman" w:hAnsi="Times New Roman" w:cs="Times New Roman"/>
          <w:sz w:val="28"/>
          <w:szCs w:val="28"/>
          <w:lang w:eastAsia="uk-UA"/>
        </w:rPr>
        <w:t>положення</w:t>
      </w:r>
      <w:r w:rsidR="00A3260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685CE1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абзацу першого пункту „б“  частини першої статті 12 Закону України „Про пенсійне забезпечення осіб, звільнених з військової служби, та деяких інших осіб“ </w:t>
      </w:r>
      <w:r w:rsidR="00E63061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85CE1" w:rsidRPr="00A3260F">
        <w:rPr>
          <w:rFonts w:ascii="Times New Roman" w:hAnsi="Times New Roman" w:cs="Times New Roman"/>
          <w:sz w:val="28"/>
          <w:szCs w:val="28"/>
          <w:lang w:eastAsia="uk-UA"/>
        </w:rPr>
        <w:t>від 9 квітня 1992 року № 2262–ХІІ</w:t>
      </w:r>
      <w:r w:rsidR="00E63061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379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змінами 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</w:t>
      </w:r>
      <w:r w:rsidR="00E63061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DA703A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7EEC" w:rsidRPr="00A3260F" w:rsidRDefault="00721D22" w:rsidP="00A3260F">
      <w:pPr>
        <w:widowControl/>
        <w:shd w:val="clear" w:color="auto" w:fill="FFFFFF"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</w:t>
      </w:r>
      <w:r w:rsidR="004C7EEC" w:rsidRPr="00A3260F">
        <w:rPr>
          <w:rFonts w:ascii="Times New Roman" w:hAnsi="Times New Roman" w:cs="Times New Roman"/>
          <w:sz w:val="28"/>
          <w:szCs w:val="28"/>
          <w:lang w:eastAsia="uk-UA"/>
        </w:rPr>
        <w:t>абзацом першим пункту „б“ частини першої статті 12 Закону</w:t>
      </w:r>
      <w:r w:rsidR="00823C3F" w:rsidRPr="00A3260F">
        <w:rPr>
          <w:rFonts w:ascii="Times New Roman" w:hAnsi="Times New Roman" w:cs="Times New Roman"/>
          <w:sz w:val="28"/>
          <w:szCs w:val="28"/>
        </w:rPr>
        <w:t xml:space="preserve"> </w:t>
      </w:r>
      <w:r w:rsidR="004C7EEC" w:rsidRPr="00A3260F">
        <w:rPr>
          <w:rFonts w:ascii="Times New Roman" w:hAnsi="Times New Roman" w:cs="Times New Roman"/>
          <w:sz w:val="28"/>
          <w:szCs w:val="28"/>
        </w:rPr>
        <w:t>однією з умов призначення пенсії за вислугу років є досягнення</w:t>
      </w:r>
      <w:r w:rsidR="00602379" w:rsidRPr="00A3260F">
        <w:rPr>
          <w:rFonts w:ascii="Times New Roman" w:hAnsi="Times New Roman" w:cs="Times New Roman"/>
          <w:sz w:val="28"/>
          <w:szCs w:val="28"/>
        </w:rPr>
        <w:t xml:space="preserve"> певного віку</w:t>
      </w:r>
      <w:r w:rsidR="004C7EEC" w:rsidRPr="00A3260F">
        <w:rPr>
          <w:rFonts w:ascii="Times New Roman" w:hAnsi="Times New Roman" w:cs="Times New Roman"/>
          <w:sz w:val="28"/>
          <w:szCs w:val="28"/>
        </w:rPr>
        <w:t xml:space="preserve"> </w:t>
      </w:r>
      <w:r w:rsidR="004C7EEC" w:rsidRPr="00A3260F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="004C7EEC" w:rsidRPr="00A3260F">
        <w:rPr>
          <w:rFonts w:ascii="Times New Roman" w:hAnsi="Times New Roman" w:cs="Times New Roman"/>
          <w:sz w:val="28"/>
          <w:szCs w:val="28"/>
        </w:rPr>
        <w:t>на день звільнення зі служби</w:t>
      </w:r>
      <w:r w:rsidR="004C7EEC" w:rsidRPr="00A3260F">
        <w:rPr>
          <w:rFonts w:ascii="Times New Roman" w:hAnsi="Times New Roman" w:cs="Times New Roman"/>
          <w:sz w:val="28"/>
          <w:szCs w:val="28"/>
          <w:lang w:eastAsia="uk-UA"/>
        </w:rPr>
        <w:t>“.</w:t>
      </w:r>
    </w:p>
    <w:p w:rsidR="00AF7AB3" w:rsidRPr="00A3260F" w:rsidRDefault="00AF7AB3" w:rsidP="00A3260F">
      <w:pPr>
        <w:widowControl/>
        <w:shd w:val="clear" w:color="auto" w:fill="FFFFFF"/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2235A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переконання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CD7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автора клопотання</w:t>
      </w:r>
      <w:r w:rsidR="006D6E8D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3C3F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AA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визначен</w:t>
      </w:r>
      <w:r w:rsid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</w:t>
      </w:r>
      <w:r w:rsidR="004C7EEC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абзаці першому </w:t>
      </w:r>
      <w:r w:rsidR="00690EAA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7EEC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пункту </w:t>
      </w:r>
      <w:r w:rsidR="004C7EEC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„б“ </w:t>
      </w:r>
      <w:r w:rsidR="004C7EEC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частини першої статті 12 Закону умова досягнення певного віку для призначення пенсії </w:t>
      </w:r>
      <w:r w:rsidR="00690EAA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вислугу років </w:t>
      </w:r>
      <w:r w:rsidR="004C7EEC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саме </w:t>
      </w:r>
      <w:r w:rsidR="004C7EEC" w:rsidRPr="00A3260F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="004C7EEC" w:rsidRPr="00A3260F">
        <w:rPr>
          <w:rFonts w:ascii="Times New Roman" w:hAnsi="Times New Roman" w:cs="Times New Roman"/>
          <w:sz w:val="28"/>
          <w:szCs w:val="28"/>
        </w:rPr>
        <w:t>на день звільнення зі служби</w:t>
      </w:r>
      <w:r w:rsidR="004C7EEC" w:rsidRPr="00A3260F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4C7EEC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дискримінаційною та не забезпечує установлених Основним Законом України соціальних гарантій високого рівня</w:t>
      </w:r>
      <w:r w:rsidR="008245E9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70BE" w:rsidRPr="00A3260F" w:rsidRDefault="00F070BE" w:rsidP="00A3260F">
      <w:pPr>
        <w:widowControl/>
        <w:shd w:val="clear" w:color="auto" w:fill="FFFFFF"/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підтвердження своєї позиції </w:t>
      </w:r>
      <w:r w:rsidR="004C7EEC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Рожен О.Л. посилається </w:t>
      </w:r>
      <w:r w:rsid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Конституцію України, Закон, </w:t>
      </w:r>
      <w:r w:rsidR="004C7EEC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Конвенцію про захист прав людини і основоположних свобод 1950 року, рішення Конституційного Суду України, практику Європейського суду з прав людини 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 судові рішення у </w:t>
      </w:r>
      <w:r w:rsidR="00665059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своїй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справі. </w:t>
      </w:r>
    </w:p>
    <w:p w:rsidR="00F070BE" w:rsidRPr="00A3260F" w:rsidRDefault="00F070BE" w:rsidP="00A3260F">
      <w:pPr>
        <w:widowControl/>
        <w:shd w:val="clear" w:color="auto" w:fill="FFFFFF"/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0BE" w:rsidRPr="00A3260F" w:rsidRDefault="00F070BE" w:rsidP="00A3260F">
      <w:pPr>
        <w:spacing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0" w:name="n1523"/>
      <w:bookmarkEnd w:id="0"/>
      <w:r w:rsidRPr="00A3260F">
        <w:rPr>
          <w:rFonts w:ascii="Times New Roman" w:hAnsi="Times New Roman" w:cs="Times New Roman"/>
          <w:sz w:val="28"/>
          <w:szCs w:val="28"/>
        </w:rPr>
        <w:t xml:space="preserve"> </w:t>
      </w:r>
      <w:r w:rsidRPr="00A3260F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F070BE" w:rsidRPr="00A3260F" w:rsidRDefault="00F070BE" w:rsidP="00A3260F">
      <w:pPr>
        <w:spacing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</w:t>
      </w: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остаточному судовому рішенні у справі суб’єкта права на конституційну скаргу (частина перша статті 55); </w:t>
      </w:r>
      <w:r w:rsidR="00C15328"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</w:t>
      </w:r>
      <w:r w:rsidR="002F6755"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C15328"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прийнятною за умов її відповідності вимогам, визначеним статтями 55, 56 цього закону, та якщо з дня набрання законної сили остаточним судовим рішенням, у якому застосовано закон України (його окремі положення), с</w:t>
      </w:r>
      <w:r w:rsid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плинуло не більше трьох місяців</w:t>
      </w:r>
      <w:r w:rsid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15328"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перший, пункт 2 частини першої статті 77</w:t>
      </w:r>
      <w:r w:rsidR="000E5ECD"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15328"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7EEC" w:rsidRPr="00A3260F" w:rsidRDefault="004C7EEC" w:rsidP="00A3260F">
      <w:pPr>
        <w:spacing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6487" w:rsidRPr="00A3260F" w:rsidRDefault="004C7EEC" w:rsidP="00A3260F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260F">
        <w:rPr>
          <w:rFonts w:ascii="Times New Roman" w:hAnsi="Times New Roman" w:cs="Times New Roman"/>
          <w:sz w:val="28"/>
          <w:szCs w:val="28"/>
        </w:rPr>
        <w:t xml:space="preserve">2.1. </w:t>
      </w:r>
      <w:r w:rsidR="00690EAA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Згідно з частиною першою</w:t>
      </w:r>
      <w:r w:rsidR="00D96487"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56 Закону України „Про Конституційний Суд України“ с</w:t>
      </w:r>
      <w:r w:rsidR="00D96487" w:rsidRPr="00A3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уб’єктом права на конституційну скаргу є особа, яка вважає, що застосований в остаточному судовому рішенні в її справі закон України (йо</w:t>
      </w:r>
      <w:r w:rsidR="00F44E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 окремі положення) суперечить </w:t>
      </w:r>
      <w:r w:rsidR="00D96487" w:rsidRPr="00A3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Конституції України.</w:t>
      </w:r>
    </w:p>
    <w:p w:rsidR="00D61857" w:rsidRPr="00A3260F" w:rsidRDefault="00D61857" w:rsidP="00A3260F">
      <w:pPr>
        <w:pStyle w:val="ac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A3260F">
        <w:rPr>
          <w:sz w:val="28"/>
          <w:szCs w:val="28"/>
        </w:rPr>
        <w:t xml:space="preserve">Рожен О.Л. </w:t>
      </w:r>
      <w:r w:rsidR="00D96487" w:rsidRPr="00A3260F">
        <w:rPr>
          <w:sz w:val="28"/>
          <w:szCs w:val="28"/>
        </w:rPr>
        <w:t>зазначив у конституційній скарзі, що</w:t>
      </w:r>
      <w:r w:rsidRPr="00A3260F">
        <w:rPr>
          <w:sz w:val="28"/>
          <w:szCs w:val="28"/>
        </w:rPr>
        <w:t xml:space="preserve"> остаточним судовим рішенням у його справі</w:t>
      </w:r>
      <w:r w:rsidR="00D96487" w:rsidRPr="00A3260F">
        <w:rPr>
          <w:sz w:val="28"/>
          <w:szCs w:val="28"/>
        </w:rPr>
        <w:t xml:space="preserve"> </w:t>
      </w:r>
      <w:r w:rsidRPr="00A3260F">
        <w:rPr>
          <w:sz w:val="28"/>
          <w:szCs w:val="28"/>
        </w:rPr>
        <w:t xml:space="preserve">є ухвала </w:t>
      </w:r>
      <w:r w:rsidR="00D96487" w:rsidRPr="00A3260F">
        <w:rPr>
          <w:sz w:val="28"/>
          <w:szCs w:val="28"/>
        </w:rPr>
        <w:t xml:space="preserve">Касаційного адміністративного суду у складі </w:t>
      </w:r>
      <w:r w:rsidRPr="00A3260F">
        <w:rPr>
          <w:sz w:val="28"/>
          <w:szCs w:val="28"/>
        </w:rPr>
        <w:t xml:space="preserve">Верховного Суду </w:t>
      </w:r>
      <w:r w:rsidR="00D96487" w:rsidRPr="00A3260F">
        <w:rPr>
          <w:sz w:val="28"/>
          <w:szCs w:val="28"/>
        </w:rPr>
        <w:t>від</w:t>
      </w:r>
      <w:r w:rsidRPr="00A3260F">
        <w:rPr>
          <w:sz w:val="28"/>
          <w:szCs w:val="28"/>
        </w:rPr>
        <w:t xml:space="preserve"> </w:t>
      </w:r>
      <w:r w:rsidR="00D96487" w:rsidRPr="00A3260F">
        <w:rPr>
          <w:sz w:val="28"/>
          <w:szCs w:val="28"/>
        </w:rPr>
        <w:t>30</w:t>
      </w:r>
      <w:r w:rsidRPr="00A3260F">
        <w:rPr>
          <w:sz w:val="28"/>
          <w:szCs w:val="28"/>
        </w:rPr>
        <w:t xml:space="preserve"> вересня 2024 року</w:t>
      </w:r>
      <w:r w:rsidR="00D96487" w:rsidRPr="00A3260F">
        <w:rPr>
          <w:sz w:val="28"/>
          <w:szCs w:val="28"/>
        </w:rPr>
        <w:t>.</w:t>
      </w:r>
    </w:p>
    <w:p w:rsidR="00D96487" w:rsidRPr="00A3260F" w:rsidRDefault="00690EAA" w:rsidP="00A3260F">
      <w:pPr>
        <w:pStyle w:val="ac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A3260F">
        <w:rPr>
          <w:color w:val="000000" w:themeColor="text1"/>
          <w:sz w:val="28"/>
          <w:szCs w:val="28"/>
        </w:rPr>
        <w:t>А</w:t>
      </w:r>
      <w:r w:rsidR="00D96487" w:rsidRPr="00A3260F">
        <w:rPr>
          <w:color w:val="000000" w:themeColor="text1"/>
          <w:sz w:val="28"/>
          <w:szCs w:val="28"/>
        </w:rPr>
        <w:t xml:space="preserve">наліз </w:t>
      </w:r>
      <w:r w:rsidRPr="00A3260F">
        <w:rPr>
          <w:sz w:val="28"/>
          <w:szCs w:val="28"/>
        </w:rPr>
        <w:t>ухвали Касаційного адміністративного суду у складі Верховного Суду від 30 вересня 2024 року</w:t>
      </w:r>
      <w:r w:rsidRPr="00A3260F">
        <w:rPr>
          <w:color w:val="000000" w:themeColor="text1"/>
          <w:sz w:val="28"/>
          <w:szCs w:val="28"/>
        </w:rPr>
        <w:t xml:space="preserve"> </w:t>
      </w:r>
      <w:r w:rsidR="00D96487" w:rsidRPr="00A3260F">
        <w:rPr>
          <w:color w:val="000000" w:themeColor="text1"/>
          <w:sz w:val="28"/>
          <w:szCs w:val="28"/>
        </w:rPr>
        <w:t xml:space="preserve">дає підстави для висновку, що окреме </w:t>
      </w:r>
      <w:r w:rsidR="00D96487" w:rsidRPr="00A3260F">
        <w:rPr>
          <w:sz w:val="28"/>
          <w:szCs w:val="28"/>
        </w:rPr>
        <w:t>положення абзацу першого пункту „б“  частини першої статті 12 Закону</w:t>
      </w:r>
      <w:r w:rsidRPr="00A3260F">
        <w:rPr>
          <w:sz w:val="28"/>
          <w:szCs w:val="28"/>
        </w:rPr>
        <w:t xml:space="preserve"> </w:t>
      </w:r>
      <w:r w:rsidR="00F44ECC">
        <w:rPr>
          <w:color w:val="000000" w:themeColor="text1"/>
          <w:sz w:val="28"/>
          <w:szCs w:val="28"/>
        </w:rPr>
        <w:t>в</w:t>
      </w:r>
      <w:r w:rsidRPr="00A3260F">
        <w:rPr>
          <w:color w:val="000000" w:themeColor="text1"/>
          <w:sz w:val="28"/>
          <w:szCs w:val="28"/>
        </w:rPr>
        <w:t xml:space="preserve"> ній не застосовано</w:t>
      </w:r>
      <w:r w:rsidR="00D96487" w:rsidRPr="00A3260F">
        <w:rPr>
          <w:sz w:val="28"/>
          <w:szCs w:val="28"/>
        </w:rPr>
        <w:t>.</w:t>
      </w:r>
    </w:p>
    <w:p w:rsidR="00D96487" w:rsidRPr="00A3260F" w:rsidRDefault="00D96487" w:rsidP="00A3260F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4ECC">
        <w:rPr>
          <w:rFonts w:ascii="Times New Roman" w:hAnsi="Times New Roman" w:cs="Times New Roman"/>
          <w:sz w:val="28"/>
          <w:szCs w:val="28"/>
        </w:rPr>
        <w:t>Отже,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A3260F">
        <w:rPr>
          <w:rFonts w:ascii="Times New Roman" w:hAnsi="Times New Roman" w:cs="Times New Roman"/>
          <w:sz w:val="28"/>
          <w:szCs w:val="28"/>
        </w:rPr>
        <w:t xml:space="preserve">Рожен О.Л. 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</w:rPr>
        <w:t>не є належним суб’єктом права на конституційну скаргу в розумінні вимог частини першої статті 56 Закону України „Про Конституційний Суд України“</w:t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що є підставою для відмови у відкритті конституційного провадження у справі згі</w:t>
      </w:r>
      <w:r w:rsid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дно з пунктом 1 статті 62 цього</w:t>
      </w:r>
      <w:r w:rsid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закону – звернення до Конституційного Суду України неналежним суб’єктом.</w:t>
      </w:r>
    </w:p>
    <w:p w:rsidR="00D96487" w:rsidRPr="00A3260F" w:rsidRDefault="00D96487" w:rsidP="00A3260F">
      <w:pPr>
        <w:pStyle w:val="ac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</w:p>
    <w:p w:rsidR="00D96487" w:rsidRPr="00A3260F" w:rsidRDefault="00D96487" w:rsidP="00A3260F">
      <w:pPr>
        <w:pStyle w:val="ac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A3260F">
        <w:rPr>
          <w:sz w:val="28"/>
          <w:szCs w:val="28"/>
        </w:rPr>
        <w:t xml:space="preserve">2.2. Зі змісту конституційної скарги та долучених до неї матеріалів убачається, що </w:t>
      </w:r>
      <w:r w:rsidRPr="00A3260F">
        <w:rPr>
          <w:color w:val="000000" w:themeColor="text1"/>
          <w:sz w:val="28"/>
          <w:szCs w:val="28"/>
        </w:rPr>
        <w:t xml:space="preserve">окреме </w:t>
      </w:r>
      <w:r w:rsidRPr="00A3260F">
        <w:rPr>
          <w:sz w:val="28"/>
          <w:szCs w:val="28"/>
        </w:rPr>
        <w:t xml:space="preserve">положення абзацу першого пункту „б“  частини першої статті 12 Закону </w:t>
      </w:r>
      <w:r w:rsidR="00DE4875" w:rsidRPr="00A3260F">
        <w:rPr>
          <w:sz w:val="28"/>
          <w:szCs w:val="28"/>
        </w:rPr>
        <w:t>застосовано як правове п</w:t>
      </w:r>
      <w:r w:rsidR="00A3260F">
        <w:rPr>
          <w:sz w:val="28"/>
          <w:szCs w:val="28"/>
        </w:rPr>
        <w:t xml:space="preserve">ідґрунтя мотивувальної частини </w:t>
      </w:r>
      <w:r w:rsidR="00DE4875" w:rsidRPr="00A3260F">
        <w:rPr>
          <w:sz w:val="28"/>
          <w:szCs w:val="28"/>
        </w:rPr>
        <w:t>рішення Київського окружного адміністративного суду</w:t>
      </w:r>
      <w:r w:rsidRPr="00A3260F">
        <w:rPr>
          <w:sz w:val="28"/>
          <w:szCs w:val="28"/>
        </w:rPr>
        <w:t xml:space="preserve"> </w:t>
      </w:r>
      <w:r w:rsidR="00DE4875" w:rsidRPr="00A3260F">
        <w:rPr>
          <w:sz w:val="28"/>
          <w:szCs w:val="28"/>
        </w:rPr>
        <w:t xml:space="preserve"> від 3 червня 2024 року та постанови Шостого апеляційного адміністративного суду від 30 липня </w:t>
      </w:r>
      <w:r w:rsidR="00690EAA" w:rsidRPr="00A3260F">
        <w:rPr>
          <w:sz w:val="28"/>
          <w:szCs w:val="28"/>
        </w:rPr>
        <w:br/>
      </w:r>
      <w:r w:rsidR="00DE4875" w:rsidRPr="00A3260F">
        <w:rPr>
          <w:sz w:val="28"/>
          <w:szCs w:val="28"/>
        </w:rPr>
        <w:t>2024 року</w:t>
      </w:r>
      <w:r w:rsidR="006211D7" w:rsidRPr="00A3260F">
        <w:rPr>
          <w:sz w:val="28"/>
          <w:szCs w:val="28"/>
        </w:rPr>
        <w:t>.</w:t>
      </w:r>
    </w:p>
    <w:p w:rsidR="00D96487" w:rsidRPr="00A3260F" w:rsidRDefault="006211D7" w:rsidP="00A3260F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color w:val="000000" w:themeColor="text1"/>
          <w:sz w:val="28"/>
          <w:szCs w:val="28"/>
          <w:shd w:val="clear" w:color="auto" w:fill="FCFCFC"/>
        </w:rPr>
      </w:pPr>
      <w:r w:rsidRPr="00A3260F">
        <w:rPr>
          <w:color w:val="000000" w:themeColor="text1"/>
          <w:sz w:val="28"/>
          <w:szCs w:val="28"/>
        </w:rPr>
        <w:lastRenderedPageBreak/>
        <w:t xml:space="preserve">Згідно з пунктом 2 частини першої статті 77 Закону України „Про Конституційний Суд України“ конституційна скарга </w:t>
      </w:r>
      <w:r w:rsidR="00690EAA" w:rsidRPr="00A3260F">
        <w:rPr>
          <w:color w:val="000000" w:themeColor="text1"/>
          <w:sz w:val="28"/>
          <w:szCs w:val="28"/>
        </w:rPr>
        <w:t>є</w:t>
      </w:r>
      <w:r w:rsidRPr="00A3260F">
        <w:rPr>
          <w:color w:val="000000" w:themeColor="text1"/>
          <w:sz w:val="28"/>
          <w:szCs w:val="28"/>
        </w:rPr>
        <w:t xml:space="preserve"> прийнятною</w:t>
      </w:r>
      <w:r w:rsidR="00690EAA" w:rsidRPr="00A3260F">
        <w:rPr>
          <w:color w:val="000000" w:themeColor="text1"/>
          <w:sz w:val="28"/>
          <w:szCs w:val="28"/>
        </w:rPr>
        <w:t>,</w:t>
      </w:r>
      <w:r w:rsidRPr="00A3260F">
        <w:rPr>
          <w:color w:val="000000" w:themeColor="text1"/>
          <w:sz w:val="28"/>
          <w:szCs w:val="28"/>
        </w:rPr>
        <w:t xml:space="preserve"> якщо </w:t>
      </w:r>
      <w:r w:rsidR="00690EAA" w:rsidRPr="00A3260F">
        <w:rPr>
          <w:color w:val="000000" w:themeColor="text1"/>
          <w:sz w:val="28"/>
          <w:szCs w:val="28"/>
        </w:rPr>
        <w:t>„</w:t>
      </w:r>
      <w:r w:rsidRPr="00A3260F">
        <w:rPr>
          <w:color w:val="000000" w:themeColor="text1"/>
          <w:sz w:val="28"/>
          <w:szCs w:val="28"/>
        </w:rPr>
        <w:t>з дня набрання законної сили остаточним судовим рішенням, у якому застосовано закон України (його окремі положення), сплинуло не більше трьох місяців</w:t>
      </w:r>
      <w:r w:rsidRPr="00A3260F">
        <w:rPr>
          <w:color w:val="000000" w:themeColor="text1"/>
          <w:sz w:val="28"/>
          <w:szCs w:val="28"/>
          <w:shd w:val="clear" w:color="auto" w:fill="FCFCFC"/>
        </w:rPr>
        <w:t>“.</w:t>
      </w:r>
    </w:p>
    <w:p w:rsidR="006211D7" w:rsidRPr="00A3260F" w:rsidRDefault="006211D7" w:rsidP="00A3260F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A3260F">
        <w:rPr>
          <w:sz w:val="28"/>
          <w:szCs w:val="28"/>
        </w:rPr>
        <w:t xml:space="preserve">Конституційна скарга надійшла </w:t>
      </w:r>
      <w:r w:rsidR="00A3260F">
        <w:rPr>
          <w:sz w:val="28"/>
          <w:szCs w:val="28"/>
        </w:rPr>
        <w:t>до Конституційного Суду України</w:t>
      </w:r>
      <w:r w:rsidR="00A3260F">
        <w:rPr>
          <w:sz w:val="28"/>
          <w:szCs w:val="28"/>
        </w:rPr>
        <w:br/>
      </w:r>
      <w:r w:rsidRPr="00A3260F">
        <w:rPr>
          <w:sz w:val="28"/>
          <w:szCs w:val="28"/>
        </w:rPr>
        <w:t>2</w:t>
      </w:r>
      <w:r w:rsidRPr="00A3260F">
        <w:rPr>
          <w:sz w:val="28"/>
          <w:szCs w:val="28"/>
          <w:lang w:val="ru-RU"/>
        </w:rPr>
        <w:t>5</w:t>
      </w:r>
      <w:r w:rsidRPr="00A3260F">
        <w:rPr>
          <w:sz w:val="28"/>
          <w:szCs w:val="28"/>
        </w:rPr>
        <w:t xml:space="preserve"> грудня 2024 року, тобто </w:t>
      </w:r>
      <w:r w:rsidR="000C22C2" w:rsidRPr="00A3260F">
        <w:rPr>
          <w:sz w:val="28"/>
          <w:szCs w:val="28"/>
        </w:rPr>
        <w:t>після закінчення</w:t>
      </w:r>
      <w:r w:rsidRPr="00A3260F">
        <w:rPr>
          <w:sz w:val="28"/>
          <w:szCs w:val="28"/>
        </w:rPr>
        <w:t xml:space="preserve"> строку, установленого пунктом 2 частини першої статті 77 Закону України „Про Конституційний Суд України“.</w:t>
      </w:r>
    </w:p>
    <w:p w:rsidR="00E91545" w:rsidRPr="00A3260F" w:rsidRDefault="00E91545" w:rsidP="00A3260F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color w:val="000000" w:themeColor="text1"/>
          <w:sz w:val="28"/>
          <w:szCs w:val="28"/>
        </w:rPr>
      </w:pPr>
      <w:r w:rsidRPr="00A3260F">
        <w:rPr>
          <w:color w:val="000000" w:themeColor="text1"/>
          <w:sz w:val="28"/>
          <w:szCs w:val="28"/>
        </w:rPr>
        <w:t xml:space="preserve">У матеріалах справи </w:t>
      </w:r>
      <w:r w:rsidR="000C22C2" w:rsidRPr="00A3260F">
        <w:rPr>
          <w:color w:val="000000" w:themeColor="text1"/>
          <w:sz w:val="28"/>
          <w:szCs w:val="28"/>
        </w:rPr>
        <w:t>не міститься</w:t>
      </w:r>
      <w:r w:rsidRPr="00A3260F">
        <w:rPr>
          <w:color w:val="000000" w:themeColor="text1"/>
          <w:sz w:val="28"/>
          <w:szCs w:val="28"/>
        </w:rPr>
        <w:t xml:space="preserve"> клопотання про поновлення пропущеного строку</w:t>
      </w:r>
      <w:r w:rsidR="000C22C2" w:rsidRPr="00A3260F">
        <w:rPr>
          <w:color w:val="000000" w:themeColor="text1"/>
          <w:sz w:val="28"/>
          <w:szCs w:val="28"/>
        </w:rPr>
        <w:t xml:space="preserve"> подання конституційної скарги</w:t>
      </w:r>
      <w:r w:rsidRPr="00A3260F">
        <w:rPr>
          <w:color w:val="000000" w:themeColor="text1"/>
          <w:sz w:val="28"/>
          <w:szCs w:val="28"/>
        </w:rPr>
        <w:t>. Підстави для прийняття конституційно</w:t>
      </w:r>
      <w:r w:rsidR="000C22C2" w:rsidRPr="00A3260F">
        <w:rPr>
          <w:color w:val="000000" w:themeColor="text1"/>
          <w:sz w:val="28"/>
          <w:szCs w:val="28"/>
        </w:rPr>
        <w:t xml:space="preserve">ї </w:t>
      </w:r>
      <w:r w:rsidRPr="00A3260F">
        <w:rPr>
          <w:color w:val="000000" w:themeColor="text1"/>
          <w:sz w:val="28"/>
          <w:szCs w:val="28"/>
        </w:rPr>
        <w:t xml:space="preserve">скарги Рожена О.Л. </w:t>
      </w:r>
      <w:r w:rsidRPr="00A3260F">
        <w:rPr>
          <w:color w:val="000000" w:themeColor="text1"/>
          <w:sz w:val="28"/>
          <w:szCs w:val="28"/>
          <w:shd w:val="clear" w:color="auto" w:fill="FFFFFF"/>
        </w:rPr>
        <w:t xml:space="preserve">поза межами вимог, установлених пунктом 2 </w:t>
      </w:r>
      <w:r w:rsidRPr="00A3260F">
        <w:rPr>
          <w:color w:val="000000" w:themeColor="text1"/>
          <w:sz w:val="28"/>
          <w:szCs w:val="28"/>
        </w:rPr>
        <w:t>частини першої статті 77 Закону України „Про Конституційний Суд України“</w:t>
      </w:r>
      <w:r w:rsidR="000C22C2" w:rsidRPr="00A3260F">
        <w:rPr>
          <w:color w:val="000000" w:themeColor="text1"/>
          <w:sz w:val="28"/>
          <w:szCs w:val="28"/>
        </w:rPr>
        <w:t>,</w:t>
      </w:r>
      <w:r w:rsidRPr="00A3260F">
        <w:rPr>
          <w:color w:val="000000" w:themeColor="text1"/>
          <w:sz w:val="28"/>
          <w:szCs w:val="28"/>
        </w:rPr>
        <w:t xml:space="preserve"> </w:t>
      </w:r>
      <w:r w:rsidR="000C22C2" w:rsidRPr="00A3260F">
        <w:rPr>
          <w:color w:val="000000" w:themeColor="text1"/>
          <w:sz w:val="28"/>
          <w:szCs w:val="28"/>
        </w:rPr>
        <w:t>немає</w:t>
      </w:r>
      <w:r w:rsidRPr="00A3260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211D7" w:rsidRPr="00A3260F" w:rsidRDefault="000C22C2" w:rsidP="00A3260F">
      <w:pPr>
        <w:pStyle w:val="ac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A3260F">
        <w:rPr>
          <w:sz w:val="28"/>
          <w:szCs w:val="28"/>
        </w:rPr>
        <w:t>Н</w:t>
      </w:r>
      <w:r w:rsidR="006211D7" w:rsidRPr="00A3260F">
        <w:rPr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E5ECD" w:rsidRPr="00A3260F" w:rsidRDefault="000E5ECD" w:rsidP="00A3260F">
      <w:pPr>
        <w:pStyle w:val="ac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</w:p>
    <w:p w:rsidR="00F070BE" w:rsidRDefault="00F070BE" w:rsidP="00A3260F">
      <w:pPr>
        <w:spacing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A32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A3260F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A3260F" w:rsidRPr="00A3260F" w:rsidRDefault="00A3260F" w:rsidP="00A3260F">
      <w:pPr>
        <w:spacing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0BE" w:rsidRPr="00A3260F" w:rsidRDefault="00F070BE" w:rsidP="00A3260F">
      <w:pPr>
        <w:spacing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326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665059" w:rsidRPr="00A3260F" w:rsidRDefault="00665059" w:rsidP="00A3260F">
      <w:pPr>
        <w:spacing w:line="37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70BE" w:rsidRPr="00A3260F" w:rsidRDefault="00F070BE" w:rsidP="00A3260F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0F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E91545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Рожена Олексія Леонідовича щодо відповідності Конституції України (конституційності) окремого положення абзацу першого пункту „б“  частини першої статті 12 Закону України „Про пенсійне забезпечення осіб, звільнених з військової служби, та деяких інших осіб“ від 9 квітня 1992 року № 2262–ХІІ </w:t>
      </w:r>
      <w:r w:rsidR="00602379" w:rsidRPr="00A3260F">
        <w:rPr>
          <w:rFonts w:ascii="Times New Roman" w:hAnsi="Times New Roman" w:cs="Times New Roman"/>
          <w:sz w:val="28"/>
          <w:szCs w:val="28"/>
          <w:lang w:eastAsia="uk-UA"/>
        </w:rPr>
        <w:t xml:space="preserve">зі змінами </w:t>
      </w:r>
      <w:r w:rsidR="005961E8" w:rsidRPr="00A3260F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602379" w:rsidRPr="00A3260F">
        <w:rPr>
          <w:rFonts w:ascii="Times New Roman" w:hAnsi="Times New Roman" w:cs="Times New Roman"/>
          <w:sz w:val="28"/>
          <w:szCs w:val="28"/>
        </w:rPr>
        <w:t xml:space="preserve">пунктів </w:t>
      </w:r>
      <w:r w:rsidR="00E91545" w:rsidRP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602379" w:rsidRP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4</w:t>
      </w:r>
      <w:r w:rsidR="00E91545" w:rsidRP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статті 62</w:t>
      </w:r>
      <w:r w:rsidR="000C22C2" w:rsidRP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C22C2" w:rsidRPr="00A3260F">
        <w:rPr>
          <w:rFonts w:ascii="Times New Roman" w:hAnsi="Times New Roman" w:cs="Times New Roman"/>
          <w:sz w:val="28"/>
          <w:szCs w:val="28"/>
        </w:rPr>
        <w:t xml:space="preserve">Закону України „Про </w:t>
      </w:r>
      <w:r w:rsidR="000C22C2" w:rsidRPr="00A3260F">
        <w:rPr>
          <w:rFonts w:ascii="Times New Roman" w:hAnsi="Times New Roman" w:cs="Times New Roman"/>
          <w:sz w:val="28"/>
          <w:szCs w:val="28"/>
        </w:rPr>
        <w:lastRenderedPageBreak/>
        <w:t>Конституційний Суд України“</w:t>
      </w:r>
      <w:r w:rsidR="00E91545" w:rsidRP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91545" w:rsidRPr="00A3260F">
        <w:rPr>
          <w:rFonts w:ascii="Times New Roman" w:hAnsi="Times New Roman" w:cs="Times New Roman"/>
          <w:sz w:val="28"/>
          <w:szCs w:val="28"/>
        </w:rPr>
        <w:t>–</w:t>
      </w:r>
      <w:r w:rsidR="00E91545" w:rsidRPr="00A326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звернення до Конституційного Суду України неналежним суб’єктом;</w:t>
      </w:r>
      <w:r w:rsidR="00E91545" w:rsidRPr="00A3260F">
        <w:rPr>
          <w:rFonts w:ascii="Times New Roman" w:hAnsi="Times New Roman" w:cs="Times New Roman"/>
          <w:sz w:val="28"/>
          <w:szCs w:val="28"/>
        </w:rPr>
        <w:t xml:space="preserve"> </w:t>
      </w:r>
      <w:r w:rsidR="005E5CE0" w:rsidRPr="00A3260F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="00CC421D" w:rsidRPr="00A3260F">
        <w:rPr>
          <w:rFonts w:ascii="Times New Roman" w:hAnsi="Times New Roman" w:cs="Times New Roman"/>
          <w:sz w:val="28"/>
          <w:szCs w:val="28"/>
        </w:rPr>
        <w:t>.</w:t>
      </w:r>
      <w:r w:rsidRPr="00A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BE" w:rsidRPr="00A3260F" w:rsidRDefault="00F070BE" w:rsidP="00A3260F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0BE" w:rsidRDefault="00F070BE" w:rsidP="00A3260F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0F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A3260F" w:rsidRDefault="00A3260F" w:rsidP="00A32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0F" w:rsidRDefault="00A3260F" w:rsidP="00A32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0F" w:rsidRDefault="00A3260F" w:rsidP="00A32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6F2" w:rsidRPr="00870D03" w:rsidRDefault="008B76F2" w:rsidP="008B76F2">
      <w:pPr>
        <w:pStyle w:val="a3"/>
        <w:ind w:left="4254" w:firstLine="0"/>
        <w:jc w:val="center"/>
        <w:rPr>
          <w:caps/>
          <w:szCs w:val="28"/>
        </w:rPr>
      </w:pPr>
      <w:bookmarkStart w:id="1" w:name="_GoBack"/>
      <w:r w:rsidRPr="00870D03">
        <w:rPr>
          <w:caps/>
          <w:szCs w:val="28"/>
        </w:rPr>
        <w:t>Третя колегія суддів</w:t>
      </w:r>
    </w:p>
    <w:p w:rsidR="008B76F2" w:rsidRPr="00870D03" w:rsidRDefault="008B76F2" w:rsidP="008B76F2">
      <w:pPr>
        <w:pStyle w:val="a3"/>
        <w:ind w:left="4254" w:firstLine="0"/>
        <w:jc w:val="center"/>
        <w:rPr>
          <w:caps/>
          <w:szCs w:val="28"/>
        </w:rPr>
      </w:pPr>
      <w:r w:rsidRPr="00870D03">
        <w:rPr>
          <w:caps/>
          <w:szCs w:val="28"/>
        </w:rPr>
        <w:t>Першого сенату</w:t>
      </w:r>
    </w:p>
    <w:p w:rsidR="00A3260F" w:rsidRDefault="008B76F2" w:rsidP="008B76F2">
      <w:pPr>
        <w:pStyle w:val="a3"/>
        <w:ind w:left="4254" w:firstLine="0"/>
        <w:jc w:val="center"/>
        <w:rPr>
          <w:szCs w:val="28"/>
        </w:rPr>
      </w:pPr>
      <w:r w:rsidRPr="00870D03">
        <w:rPr>
          <w:caps/>
          <w:szCs w:val="28"/>
        </w:rPr>
        <w:t>Конституційного Суду України</w:t>
      </w:r>
      <w:bookmarkEnd w:id="1"/>
    </w:p>
    <w:sectPr w:rsidR="00A3260F" w:rsidSect="00A3260F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60" w:rsidRDefault="00772C60" w:rsidP="002621FF">
      <w:r>
        <w:separator/>
      </w:r>
    </w:p>
  </w:endnote>
  <w:endnote w:type="continuationSeparator" w:id="0">
    <w:p w:rsidR="00772C60" w:rsidRDefault="00772C60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0F" w:rsidRPr="00A3260F" w:rsidRDefault="00A3260F">
    <w:pPr>
      <w:pStyle w:val="a9"/>
      <w:rPr>
        <w:rFonts w:ascii="Times New Roman" w:hAnsi="Times New Roman" w:cs="Times New Roman"/>
        <w:sz w:val="10"/>
        <w:szCs w:val="10"/>
      </w:rPr>
    </w:pPr>
    <w:r w:rsidRPr="00A3260F">
      <w:rPr>
        <w:rFonts w:ascii="Times New Roman" w:hAnsi="Times New Roman" w:cs="Times New Roman"/>
        <w:sz w:val="10"/>
        <w:szCs w:val="10"/>
      </w:rPr>
      <w:fldChar w:fldCharType="begin"/>
    </w:r>
    <w:r w:rsidRPr="00A3260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3260F">
      <w:rPr>
        <w:rFonts w:ascii="Times New Roman" w:hAnsi="Times New Roman" w:cs="Times New Roman"/>
        <w:sz w:val="10"/>
        <w:szCs w:val="10"/>
      </w:rPr>
      <w:fldChar w:fldCharType="separate"/>
    </w:r>
    <w:r w:rsidR="008B76F2">
      <w:rPr>
        <w:rFonts w:ascii="Times New Roman" w:hAnsi="Times New Roman" w:cs="Times New Roman"/>
        <w:noProof/>
        <w:sz w:val="10"/>
        <w:szCs w:val="10"/>
      </w:rPr>
      <w:t>G:\2025\Suddi\I senat\III koleg\2.docx</w:t>
    </w:r>
    <w:r w:rsidRPr="00A3260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0F" w:rsidRPr="00A3260F" w:rsidRDefault="00A3260F">
    <w:pPr>
      <w:pStyle w:val="a9"/>
      <w:rPr>
        <w:rFonts w:ascii="Times New Roman" w:hAnsi="Times New Roman" w:cs="Times New Roman"/>
        <w:sz w:val="10"/>
        <w:szCs w:val="10"/>
      </w:rPr>
    </w:pPr>
    <w:r w:rsidRPr="00A3260F">
      <w:rPr>
        <w:rFonts w:ascii="Times New Roman" w:hAnsi="Times New Roman" w:cs="Times New Roman"/>
        <w:sz w:val="10"/>
        <w:szCs w:val="10"/>
      </w:rPr>
      <w:fldChar w:fldCharType="begin"/>
    </w:r>
    <w:r w:rsidRPr="00A3260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3260F">
      <w:rPr>
        <w:rFonts w:ascii="Times New Roman" w:hAnsi="Times New Roman" w:cs="Times New Roman"/>
        <w:sz w:val="10"/>
        <w:szCs w:val="10"/>
      </w:rPr>
      <w:fldChar w:fldCharType="separate"/>
    </w:r>
    <w:r w:rsidR="008B76F2">
      <w:rPr>
        <w:rFonts w:ascii="Times New Roman" w:hAnsi="Times New Roman" w:cs="Times New Roman"/>
        <w:noProof/>
        <w:sz w:val="10"/>
        <w:szCs w:val="10"/>
      </w:rPr>
      <w:t>G:\2025\Suddi\I senat\III koleg\2.docx</w:t>
    </w:r>
    <w:r w:rsidRPr="00A3260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60" w:rsidRDefault="00772C60" w:rsidP="002621FF">
      <w:r>
        <w:separator/>
      </w:r>
    </w:p>
  </w:footnote>
  <w:footnote w:type="continuationSeparator" w:id="0">
    <w:p w:rsidR="00772C60" w:rsidRDefault="00772C60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DA703A" w:rsidRPr="002621FF" w:rsidRDefault="00DA703A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8B76F2">
          <w:rPr>
            <w:noProof/>
            <w:sz w:val="28"/>
            <w:szCs w:val="28"/>
          </w:rPr>
          <w:t>5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24E72"/>
    <w:rsid w:val="00037853"/>
    <w:rsid w:val="00041159"/>
    <w:rsid w:val="00053E7F"/>
    <w:rsid w:val="00084215"/>
    <w:rsid w:val="00084F89"/>
    <w:rsid w:val="0008573A"/>
    <w:rsid w:val="000C22C2"/>
    <w:rsid w:val="000C688E"/>
    <w:rsid w:val="000D234F"/>
    <w:rsid w:val="000E05D8"/>
    <w:rsid w:val="000E15AF"/>
    <w:rsid w:val="000E566D"/>
    <w:rsid w:val="000E5ECD"/>
    <w:rsid w:val="000F075F"/>
    <w:rsid w:val="0010090D"/>
    <w:rsid w:val="00111B85"/>
    <w:rsid w:val="0012235A"/>
    <w:rsid w:val="0014086F"/>
    <w:rsid w:val="001526B8"/>
    <w:rsid w:val="00176B15"/>
    <w:rsid w:val="00176C08"/>
    <w:rsid w:val="0018523B"/>
    <w:rsid w:val="001E1A35"/>
    <w:rsid w:val="001E3E8E"/>
    <w:rsid w:val="001E4476"/>
    <w:rsid w:val="001E5620"/>
    <w:rsid w:val="00220B16"/>
    <w:rsid w:val="002403B1"/>
    <w:rsid w:val="00240FDF"/>
    <w:rsid w:val="002621FF"/>
    <w:rsid w:val="00262CEE"/>
    <w:rsid w:val="00274677"/>
    <w:rsid w:val="0029473A"/>
    <w:rsid w:val="002B1DC4"/>
    <w:rsid w:val="002B1E7A"/>
    <w:rsid w:val="002C0041"/>
    <w:rsid w:val="002D5434"/>
    <w:rsid w:val="002F6755"/>
    <w:rsid w:val="00340FE0"/>
    <w:rsid w:val="0035678F"/>
    <w:rsid w:val="00386607"/>
    <w:rsid w:val="0038731A"/>
    <w:rsid w:val="003A73DE"/>
    <w:rsid w:val="003C75B6"/>
    <w:rsid w:val="003E74C9"/>
    <w:rsid w:val="00407BB6"/>
    <w:rsid w:val="004107F2"/>
    <w:rsid w:val="00424FAC"/>
    <w:rsid w:val="004302FA"/>
    <w:rsid w:val="00430736"/>
    <w:rsid w:val="004375E1"/>
    <w:rsid w:val="00473608"/>
    <w:rsid w:val="004777FB"/>
    <w:rsid w:val="00492848"/>
    <w:rsid w:val="004A28CA"/>
    <w:rsid w:val="004A3DBB"/>
    <w:rsid w:val="004B0F35"/>
    <w:rsid w:val="004C2534"/>
    <w:rsid w:val="004C6A4C"/>
    <w:rsid w:val="004C7EEC"/>
    <w:rsid w:val="004D0493"/>
    <w:rsid w:val="004F5D95"/>
    <w:rsid w:val="00522F4B"/>
    <w:rsid w:val="0053039C"/>
    <w:rsid w:val="00530539"/>
    <w:rsid w:val="00532984"/>
    <w:rsid w:val="005448A8"/>
    <w:rsid w:val="00582E7C"/>
    <w:rsid w:val="005850E3"/>
    <w:rsid w:val="005961E8"/>
    <w:rsid w:val="005B4489"/>
    <w:rsid w:val="005B6CD7"/>
    <w:rsid w:val="005C6FBA"/>
    <w:rsid w:val="005E5CE0"/>
    <w:rsid w:val="005F57F7"/>
    <w:rsid w:val="00602379"/>
    <w:rsid w:val="006126EF"/>
    <w:rsid w:val="006211D7"/>
    <w:rsid w:val="00665059"/>
    <w:rsid w:val="00685CE1"/>
    <w:rsid w:val="00690EAA"/>
    <w:rsid w:val="006960A9"/>
    <w:rsid w:val="006A3EA1"/>
    <w:rsid w:val="006D6E8D"/>
    <w:rsid w:val="006F2171"/>
    <w:rsid w:val="00721D22"/>
    <w:rsid w:val="007327B8"/>
    <w:rsid w:val="007356B7"/>
    <w:rsid w:val="00772C60"/>
    <w:rsid w:val="007A284B"/>
    <w:rsid w:val="007C229B"/>
    <w:rsid w:val="007C4020"/>
    <w:rsid w:val="007D482C"/>
    <w:rsid w:val="00822D9B"/>
    <w:rsid w:val="00823C3F"/>
    <w:rsid w:val="008245E9"/>
    <w:rsid w:val="00830609"/>
    <w:rsid w:val="00835F85"/>
    <w:rsid w:val="00836A0D"/>
    <w:rsid w:val="00862207"/>
    <w:rsid w:val="008720B3"/>
    <w:rsid w:val="00875209"/>
    <w:rsid w:val="00885AE4"/>
    <w:rsid w:val="008B57D9"/>
    <w:rsid w:val="008B76F2"/>
    <w:rsid w:val="008C48FE"/>
    <w:rsid w:val="008D29F9"/>
    <w:rsid w:val="008F6240"/>
    <w:rsid w:val="00904FCA"/>
    <w:rsid w:val="0090578D"/>
    <w:rsid w:val="00945368"/>
    <w:rsid w:val="00981D7D"/>
    <w:rsid w:val="009842B8"/>
    <w:rsid w:val="00994341"/>
    <w:rsid w:val="009C5DE9"/>
    <w:rsid w:val="009C77E6"/>
    <w:rsid w:val="009F61B5"/>
    <w:rsid w:val="00A156EB"/>
    <w:rsid w:val="00A20BCC"/>
    <w:rsid w:val="00A3260F"/>
    <w:rsid w:val="00A42354"/>
    <w:rsid w:val="00A5570F"/>
    <w:rsid w:val="00A64055"/>
    <w:rsid w:val="00A70582"/>
    <w:rsid w:val="00A709CF"/>
    <w:rsid w:val="00A84AC3"/>
    <w:rsid w:val="00A864DB"/>
    <w:rsid w:val="00AA2B79"/>
    <w:rsid w:val="00AC3587"/>
    <w:rsid w:val="00AE143B"/>
    <w:rsid w:val="00AE2712"/>
    <w:rsid w:val="00AF0E8B"/>
    <w:rsid w:val="00AF7AB3"/>
    <w:rsid w:val="00B36C0E"/>
    <w:rsid w:val="00B60ED1"/>
    <w:rsid w:val="00BA0424"/>
    <w:rsid w:val="00BA224C"/>
    <w:rsid w:val="00BE5166"/>
    <w:rsid w:val="00BE5E40"/>
    <w:rsid w:val="00BF1E1B"/>
    <w:rsid w:val="00BF6047"/>
    <w:rsid w:val="00C02FBE"/>
    <w:rsid w:val="00C114FC"/>
    <w:rsid w:val="00C15328"/>
    <w:rsid w:val="00C213A7"/>
    <w:rsid w:val="00C2238B"/>
    <w:rsid w:val="00C22B36"/>
    <w:rsid w:val="00C428AD"/>
    <w:rsid w:val="00C454CE"/>
    <w:rsid w:val="00C45742"/>
    <w:rsid w:val="00C530A7"/>
    <w:rsid w:val="00C57190"/>
    <w:rsid w:val="00C63E23"/>
    <w:rsid w:val="00C94E25"/>
    <w:rsid w:val="00C95428"/>
    <w:rsid w:val="00CB057B"/>
    <w:rsid w:val="00CB7438"/>
    <w:rsid w:val="00CC421D"/>
    <w:rsid w:val="00CD5350"/>
    <w:rsid w:val="00CF4601"/>
    <w:rsid w:val="00D05390"/>
    <w:rsid w:val="00D15D8D"/>
    <w:rsid w:val="00D16790"/>
    <w:rsid w:val="00D30A4E"/>
    <w:rsid w:val="00D34042"/>
    <w:rsid w:val="00D34719"/>
    <w:rsid w:val="00D61857"/>
    <w:rsid w:val="00D86B85"/>
    <w:rsid w:val="00D96487"/>
    <w:rsid w:val="00DA703A"/>
    <w:rsid w:val="00DC6AA8"/>
    <w:rsid w:val="00DE4875"/>
    <w:rsid w:val="00E03EE8"/>
    <w:rsid w:val="00E05176"/>
    <w:rsid w:val="00E16A56"/>
    <w:rsid w:val="00E177D2"/>
    <w:rsid w:val="00E34342"/>
    <w:rsid w:val="00E53237"/>
    <w:rsid w:val="00E6136C"/>
    <w:rsid w:val="00E63061"/>
    <w:rsid w:val="00E7429E"/>
    <w:rsid w:val="00E80EF8"/>
    <w:rsid w:val="00E91545"/>
    <w:rsid w:val="00EA5ED0"/>
    <w:rsid w:val="00EE55EC"/>
    <w:rsid w:val="00F070BE"/>
    <w:rsid w:val="00F231AB"/>
    <w:rsid w:val="00F30F94"/>
    <w:rsid w:val="00F44ECC"/>
    <w:rsid w:val="00F810E7"/>
    <w:rsid w:val="00F90C96"/>
    <w:rsid w:val="00FA752E"/>
    <w:rsid w:val="00FC2C31"/>
    <w:rsid w:val="00FC57F7"/>
    <w:rsid w:val="00FE175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54CC1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C02FB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D482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7D482C"/>
    <w:rPr>
      <w:color w:val="0000FF"/>
      <w:u w:val="single"/>
    </w:rPr>
  </w:style>
  <w:style w:type="character" w:customStyle="1" w:styleId="rvts46">
    <w:name w:val="rvts46"/>
    <w:basedOn w:val="a0"/>
    <w:rsid w:val="00340FE0"/>
  </w:style>
  <w:style w:type="paragraph" w:customStyle="1" w:styleId="rvps2">
    <w:name w:val="rvps2"/>
    <w:basedOn w:val="a"/>
    <w:rsid w:val="006211D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39"/>
    <w:rsid w:val="00A326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96A1-E60D-4D27-ACAF-BB086EA8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4327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6</cp:revision>
  <cp:lastPrinted>2025-01-15T14:13:00Z</cp:lastPrinted>
  <dcterms:created xsi:type="dcterms:W3CDTF">2025-01-15T08:58:00Z</dcterms:created>
  <dcterms:modified xsi:type="dcterms:W3CDTF">2025-01-15T14:13:00Z</dcterms:modified>
</cp:coreProperties>
</file>