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79" w:rsidRDefault="00584379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39FB" w:rsidRPr="004039FB" w:rsidRDefault="004039FB" w:rsidP="00403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5CE" w:rsidRDefault="004F4831" w:rsidP="00403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39FB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4039FB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4039FB">
        <w:rPr>
          <w:rFonts w:ascii="Times New Roman" w:hAnsi="Times New Roman"/>
          <w:b/>
          <w:sz w:val="28"/>
          <w:szCs w:val="28"/>
        </w:rPr>
        <w:t>відкритт</w:t>
      </w:r>
      <w:r w:rsidR="008A7944" w:rsidRPr="004039FB">
        <w:rPr>
          <w:rFonts w:ascii="Times New Roman" w:hAnsi="Times New Roman"/>
          <w:b/>
          <w:sz w:val="28"/>
          <w:szCs w:val="28"/>
        </w:rPr>
        <w:t>і</w:t>
      </w:r>
      <w:r w:rsidRPr="004039FB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proofErr w:type="spellStart"/>
      <w:r w:rsidR="00AC4CA7" w:rsidRPr="004039FB">
        <w:rPr>
          <w:rFonts w:ascii="Times New Roman" w:hAnsi="Times New Roman"/>
          <w:b/>
          <w:sz w:val="28"/>
          <w:szCs w:val="28"/>
        </w:rPr>
        <w:t>Проданюка</w:t>
      </w:r>
      <w:proofErr w:type="spellEnd"/>
      <w:r w:rsidR="00AC4CA7" w:rsidRPr="004039FB">
        <w:rPr>
          <w:rFonts w:ascii="Times New Roman" w:hAnsi="Times New Roman"/>
          <w:b/>
          <w:sz w:val="28"/>
          <w:szCs w:val="28"/>
        </w:rPr>
        <w:t xml:space="preserve"> Богдана Михайловича</w:t>
      </w:r>
      <w:r w:rsidR="00B60525" w:rsidRPr="004039FB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AC4CA7" w:rsidRPr="004039FB">
        <w:rPr>
          <w:rFonts w:ascii="Times New Roman" w:hAnsi="Times New Roman"/>
          <w:b/>
          <w:sz w:val="28"/>
          <w:szCs w:val="28"/>
        </w:rPr>
        <w:t>другого речення абзацу першого частини другої статті 11 Закону України „Про інформацію“</w:t>
      </w:r>
      <w:r w:rsidR="004039FB">
        <w:rPr>
          <w:rFonts w:ascii="Times New Roman" w:hAnsi="Times New Roman"/>
          <w:b/>
          <w:sz w:val="28"/>
          <w:szCs w:val="28"/>
        </w:rPr>
        <w:br/>
      </w:r>
    </w:p>
    <w:p w:rsidR="00334A38" w:rsidRPr="004039FB" w:rsidRDefault="00A23D34" w:rsidP="004039F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К и ї в</w:t>
      </w:r>
      <w:r w:rsidRPr="004039FB">
        <w:rPr>
          <w:rFonts w:ascii="Times New Roman" w:hAnsi="Times New Roman"/>
          <w:sz w:val="28"/>
          <w:szCs w:val="28"/>
        </w:rPr>
        <w:tab/>
      </w:r>
      <w:r w:rsidR="004F4831" w:rsidRPr="004039FB">
        <w:rPr>
          <w:rFonts w:ascii="Times New Roman" w:hAnsi="Times New Roman"/>
          <w:sz w:val="28"/>
          <w:szCs w:val="28"/>
        </w:rPr>
        <w:t>Справа №</w:t>
      </w:r>
      <w:r w:rsidRPr="004039FB">
        <w:rPr>
          <w:rFonts w:ascii="Times New Roman" w:hAnsi="Times New Roman"/>
          <w:sz w:val="28"/>
          <w:szCs w:val="28"/>
        </w:rPr>
        <w:t xml:space="preserve"> </w:t>
      </w:r>
      <w:r w:rsidR="00DC154C" w:rsidRPr="004039FB">
        <w:rPr>
          <w:rFonts w:ascii="Times New Roman" w:hAnsi="Times New Roman"/>
          <w:sz w:val="28"/>
          <w:szCs w:val="28"/>
        </w:rPr>
        <w:t>3</w:t>
      </w:r>
      <w:r w:rsidR="00CB7B95" w:rsidRPr="004039FB">
        <w:rPr>
          <w:rFonts w:ascii="Times New Roman" w:hAnsi="Times New Roman"/>
          <w:sz w:val="28"/>
          <w:szCs w:val="28"/>
        </w:rPr>
        <w:t>-</w:t>
      </w:r>
      <w:r w:rsidR="00AC4CA7" w:rsidRPr="004039FB">
        <w:rPr>
          <w:rFonts w:ascii="Times New Roman" w:hAnsi="Times New Roman"/>
          <w:sz w:val="28"/>
          <w:szCs w:val="28"/>
        </w:rPr>
        <w:t>58</w:t>
      </w:r>
      <w:r w:rsidR="00DC154C" w:rsidRPr="004039FB">
        <w:rPr>
          <w:rFonts w:ascii="Times New Roman" w:hAnsi="Times New Roman"/>
          <w:sz w:val="28"/>
          <w:szCs w:val="28"/>
        </w:rPr>
        <w:t>/20</w:t>
      </w:r>
      <w:r w:rsidR="00483FDE" w:rsidRPr="004039FB">
        <w:rPr>
          <w:rFonts w:ascii="Times New Roman" w:hAnsi="Times New Roman"/>
          <w:sz w:val="28"/>
          <w:szCs w:val="28"/>
        </w:rPr>
        <w:t>2</w:t>
      </w:r>
      <w:r w:rsidR="00D031E7" w:rsidRPr="004039FB">
        <w:rPr>
          <w:rFonts w:ascii="Times New Roman" w:hAnsi="Times New Roman"/>
          <w:sz w:val="28"/>
          <w:szCs w:val="28"/>
        </w:rPr>
        <w:t>5</w:t>
      </w:r>
      <w:r w:rsidR="00DC154C" w:rsidRPr="004039FB">
        <w:rPr>
          <w:rFonts w:ascii="Times New Roman" w:hAnsi="Times New Roman"/>
          <w:sz w:val="28"/>
          <w:szCs w:val="28"/>
        </w:rPr>
        <w:t>(</w:t>
      </w:r>
      <w:r w:rsidR="00AC4CA7" w:rsidRPr="004039FB">
        <w:rPr>
          <w:rFonts w:ascii="Times New Roman" w:hAnsi="Times New Roman"/>
          <w:sz w:val="28"/>
          <w:szCs w:val="28"/>
        </w:rPr>
        <w:t>116</w:t>
      </w:r>
      <w:r w:rsidRPr="004039FB">
        <w:rPr>
          <w:rFonts w:ascii="Times New Roman" w:hAnsi="Times New Roman"/>
          <w:sz w:val="28"/>
          <w:szCs w:val="28"/>
        </w:rPr>
        <w:t>/</w:t>
      </w:r>
      <w:r w:rsidR="00483FDE" w:rsidRPr="004039FB">
        <w:rPr>
          <w:rFonts w:ascii="Times New Roman" w:hAnsi="Times New Roman"/>
          <w:sz w:val="28"/>
          <w:szCs w:val="28"/>
        </w:rPr>
        <w:t>2</w:t>
      </w:r>
      <w:r w:rsidR="00D031E7" w:rsidRPr="004039FB">
        <w:rPr>
          <w:rFonts w:ascii="Times New Roman" w:hAnsi="Times New Roman"/>
          <w:sz w:val="28"/>
          <w:szCs w:val="28"/>
        </w:rPr>
        <w:t>5</w:t>
      </w:r>
      <w:r w:rsidR="00DC154C" w:rsidRPr="004039FB">
        <w:rPr>
          <w:rFonts w:ascii="Times New Roman" w:hAnsi="Times New Roman"/>
          <w:sz w:val="28"/>
          <w:szCs w:val="28"/>
        </w:rPr>
        <w:t>)</w:t>
      </w:r>
    </w:p>
    <w:p w:rsidR="004F4831" w:rsidRPr="004039FB" w:rsidRDefault="00EB544F" w:rsidP="00403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6</w:t>
      </w:r>
      <w:r w:rsidR="00D031E7" w:rsidRPr="004039FB">
        <w:rPr>
          <w:rFonts w:ascii="Times New Roman" w:hAnsi="Times New Roman"/>
          <w:sz w:val="28"/>
          <w:szCs w:val="28"/>
        </w:rPr>
        <w:t xml:space="preserve"> </w:t>
      </w:r>
      <w:r w:rsidR="00AC4CA7" w:rsidRPr="004039FB">
        <w:rPr>
          <w:rFonts w:ascii="Times New Roman" w:hAnsi="Times New Roman"/>
          <w:sz w:val="28"/>
          <w:szCs w:val="28"/>
        </w:rPr>
        <w:t>травня</w:t>
      </w:r>
      <w:r w:rsidR="00666A29" w:rsidRPr="004039FB">
        <w:rPr>
          <w:rFonts w:ascii="Times New Roman" w:hAnsi="Times New Roman"/>
          <w:sz w:val="28"/>
          <w:szCs w:val="28"/>
        </w:rPr>
        <w:t xml:space="preserve"> 20</w:t>
      </w:r>
      <w:r w:rsidR="00483FDE" w:rsidRPr="004039FB">
        <w:rPr>
          <w:rFonts w:ascii="Times New Roman" w:hAnsi="Times New Roman"/>
          <w:sz w:val="28"/>
          <w:szCs w:val="28"/>
        </w:rPr>
        <w:t>2</w:t>
      </w:r>
      <w:r w:rsidR="00B60525" w:rsidRPr="004039FB">
        <w:rPr>
          <w:rFonts w:ascii="Times New Roman" w:hAnsi="Times New Roman"/>
          <w:sz w:val="28"/>
          <w:szCs w:val="28"/>
        </w:rPr>
        <w:t>5</w:t>
      </w:r>
      <w:r w:rsidR="004F4831" w:rsidRPr="004039FB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4039FB" w:rsidRDefault="004F4831" w:rsidP="00403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№</w:t>
      </w:r>
      <w:r w:rsidR="004039FB">
        <w:rPr>
          <w:rFonts w:ascii="Times New Roman" w:hAnsi="Times New Roman"/>
          <w:sz w:val="28"/>
          <w:szCs w:val="28"/>
        </w:rPr>
        <w:t xml:space="preserve"> </w:t>
      </w:r>
      <w:r w:rsidR="00EB544F" w:rsidRPr="004039FB">
        <w:rPr>
          <w:rFonts w:ascii="Times New Roman" w:hAnsi="Times New Roman"/>
          <w:sz w:val="28"/>
          <w:szCs w:val="28"/>
        </w:rPr>
        <w:t>34</w:t>
      </w:r>
      <w:r w:rsidR="00CB7B95" w:rsidRPr="004039FB">
        <w:rPr>
          <w:rFonts w:ascii="Times New Roman" w:hAnsi="Times New Roman"/>
          <w:sz w:val="28"/>
          <w:szCs w:val="28"/>
        </w:rPr>
        <w:t>-</w:t>
      </w:r>
      <w:r w:rsidR="002A3827" w:rsidRPr="004039FB">
        <w:rPr>
          <w:rFonts w:ascii="Times New Roman" w:hAnsi="Times New Roman"/>
          <w:sz w:val="28"/>
          <w:szCs w:val="28"/>
        </w:rPr>
        <w:t>3(ІІ)</w:t>
      </w:r>
      <w:r w:rsidRPr="004039FB">
        <w:rPr>
          <w:rFonts w:ascii="Times New Roman" w:hAnsi="Times New Roman"/>
          <w:sz w:val="28"/>
          <w:szCs w:val="28"/>
        </w:rPr>
        <w:t>/20</w:t>
      </w:r>
      <w:r w:rsidR="00483FDE" w:rsidRPr="004039FB">
        <w:rPr>
          <w:rFonts w:ascii="Times New Roman" w:hAnsi="Times New Roman"/>
          <w:sz w:val="28"/>
          <w:szCs w:val="28"/>
        </w:rPr>
        <w:t>2</w:t>
      </w:r>
      <w:r w:rsidR="00B60525" w:rsidRPr="004039FB">
        <w:rPr>
          <w:rFonts w:ascii="Times New Roman" w:hAnsi="Times New Roman"/>
          <w:sz w:val="28"/>
          <w:szCs w:val="28"/>
        </w:rPr>
        <w:t>5</w:t>
      </w:r>
    </w:p>
    <w:p w:rsidR="002B4065" w:rsidRDefault="002B4065" w:rsidP="004039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F07AD" w:rsidRPr="004039FB" w:rsidRDefault="001F07AD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4039FB" w:rsidRDefault="001F07AD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4039FB" w:rsidRDefault="001F07AD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4039FB" w:rsidRDefault="001F07AD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4039FB" w:rsidRDefault="00D17685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4039FB" w:rsidRDefault="00D17685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4039FB" w:rsidRDefault="00964D6B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AC4CA7" w:rsidRPr="004039FB">
        <w:rPr>
          <w:rFonts w:ascii="Times New Roman" w:hAnsi="Times New Roman"/>
          <w:sz w:val="28"/>
          <w:szCs w:val="28"/>
        </w:rPr>
        <w:t>Проданюка</w:t>
      </w:r>
      <w:proofErr w:type="spellEnd"/>
      <w:r w:rsidR="00AC4CA7" w:rsidRPr="004039FB">
        <w:rPr>
          <w:rFonts w:ascii="Times New Roman" w:hAnsi="Times New Roman"/>
          <w:sz w:val="28"/>
          <w:szCs w:val="28"/>
        </w:rPr>
        <w:t xml:space="preserve"> Богдана Михайловича </w:t>
      </w:r>
      <w:r w:rsidR="00731F9A" w:rsidRPr="004039FB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AC4CA7" w:rsidRPr="004039FB">
        <w:rPr>
          <w:rFonts w:ascii="Times New Roman" w:hAnsi="Times New Roman"/>
          <w:sz w:val="28"/>
          <w:szCs w:val="28"/>
        </w:rPr>
        <w:t>другого речення абзацу першого частини другої статті 11</w:t>
      </w:r>
      <w:r w:rsidR="00731F9A" w:rsidRPr="004039FB">
        <w:rPr>
          <w:rFonts w:ascii="Times New Roman" w:hAnsi="Times New Roman"/>
          <w:sz w:val="28"/>
          <w:szCs w:val="28"/>
        </w:rPr>
        <w:t xml:space="preserve"> </w:t>
      </w:r>
      <w:r w:rsidR="00AC4CA7" w:rsidRPr="004039FB">
        <w:rPr>
          <w:rFonts w:ascii="Times New Roman" w:hAnsi="Times New Roman"/>
          <w:sz w:val="28"/>
          <w:szCs w:val="28"/>
        </w:rPr>
        <w:t>Закону України „Про інформацію“ від 2 жовтня 1992 року № 2657–ХІІ (Відомості Верховної Ради України, 1992 р., № 48, ст. 650) зі змінами</w:t>
      </w:r>
      <w:r w:rsidR="009D211D" w:rsidRPr="004039FB">
        <w:rPr>
          <w:rFonts w:ascii="Times New Roman" w:hAnsi="Times New Roman"/>
          <w:sz w:val="28"/>
          <w:szCs w:val="28"/>
        </w:rPr>
        <w:t>.</w:t>
      </w:r>
    </w:p>
    <w:p w:rsidR="007253E6" w:rsidRPr="004039FB" w:rsidRDefault="007253E6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4039FB" w:rsidRDefault="00B4226B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034A2D" w:rsidRPr="004039FB" w:rsidRDefault="00034A2D" w:rsidP="004039FB">
      <w:pPr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4039FB" w:rsidRDefault="004F4831" w:rsidP="004039FB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FB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4039FB" w:rsidRDefault="008A55CE" w:rsidP="004039FB">
      <w:pPr>
        <w:pStyle w:val="af7"/>
        <w:spacing w:line="372" w:lineRule="auto"/>
        <w:ind w:firstLine="567"/>
      </w:pPr>
    </w:p>
    <w:p w:rsidR="00DA5926" w:rsidRPr="004039FB" w:rsidRDefault="006E64F1" w:rsidP="004039FB">
      <w:pPr>
        <w:pStyle w:val="af7"/>
        <w:spacing w:line="372" w:lineRule="auto"/>
        <w:ind w:firstLine="567"/>
      </w:pPr>
      <w:r w:rsidRPr="004039FB">
        <w:t>1.</w:t>
      </w:r>
      <w:r w:rsidR="00F475DE" w:rsidRPr="004039FB">
        <w:t xml:space="preserve"> </w:t>
      </w:r>
      <w:proofErr w:type="spellStart"/>
      <w:r w:rsidR="00DA5926" w:rsidRPr="004039FB">
        <w:t>Проданюк</w:t>
      </w:r>
      <w:proofErr w:type="spellEnd"/>
      <w:r w:rsidR="00DA5926" w:rsidRPr="004039FB">
        <w:t xml:space="preserve"> Б.М.</w:t>
      </w:r>
      <w:r w:rsidR="009D211D" w:rsidRPr="004039FB">
        <w:t xml:space="preserve"> </w:t>
      </w:r>
      <w:r w:rsidR="0006153D" w:rsidRPr="004039FB">
        <w:t xml:space="preserve">звернувся до Конституційного Суду України з клопотанням </w:t>
      </w:r>
      <w:r w:rsidR="00AD71F6" w:rsidRPr="004039FB">
        <w:t xml:space="preserve">перевірити на відповідність </w:t>
      </w:r>
      <w:bookmarkStart w:id="0" w:name="_Hlk171678194"/>
      <w:r w:rsidR="00DA5926" w:rsidRPr="004039FB">
        <w:t xml:space="preserve">частині першій статті 32 </w:t>
      </w:r>
      <w:r w:rsidR="00E923EE" w:rsidRPr="004039FB">
        <w:t xml:space="preserve">Конституції </w:t>
      </w:r>
      <w:r w:rsidR="00E923EE" w:rsidRPr="004039FB">
        <w:lastRenderedPageBreak/>
        <w:t xml:space="preserve">України </w:t>
      </w:r>
      <w:r w:rsidR="00AD71F6" w:rsidRPr="004039FB">
        <w:t xml:space="preserve">(конституційність) </w:t>
      </w:r>
      <w:r w:rsidR="00DA5926" w:rsidRPr="004039FB">
        <w:t xml:space="preserve">друге речення абзацу першого частини другої </w:t>
      </w:r>
      <w:r w:rsidR="00DA5926" w:rsidRPr="004039FB">
        <w:br/>
        <w:t>статті 11 Закону України „Про інформацію“ від 2 жовтня 1992 року № 2657–ХІІ зі змінами (далі ‒ Закон), згідно з яким „до конфіденційної інформації про фізичну особу належать, зокрема, дані про її національність, освіту, сімейний стан, релігійні переконання, стан здоров</w:t>
      </w:r>
      <w:r w:rsidR="00803E12" w:rsidRPr="004039FB">
        <w:t>’</w:t>
      </w:r>
      <w:r w:rsidR="00DA5926" w:rsidRPr="004039FB">
        <w:t>я, а також адреса, дата і місце народження“.</w:t>
      </w:r>
    </w:p>
    <w:bookmarkEnd w:id="0"/>
    <w:p w:rsidR="007D0A35" w:rsidRPr="004039FB" w:rsidRDefault="007D0A35" w:rsidP="004039FB">
      <w:pPr>
        <w:pStyle w:val="af7"/>
        <w:spacing w:line="372" w:lineRule="auto"/>
        <w:ind w:firstLine="567"/>
      </w:pPr>
    </w:p>
    <w:p w:rsidR="00E57426" w:rsidRPr="004039FB" w:rsidRDefault="007D0A35" w:rsidP="004039FB">
      <w:pPr>
        <w:pStyle w:val="af7"/>
        <w:spacing w:line="372" w:lineRule="auto"/>
        <w:ind w:firstLine="567"/>
      </w:pPr>
      <w:r w:rsidRPr="004039FB">
        <w:t>1.</w:t>
      </w:r>
      <w:r w:rsidR="00ED0DFF" w:rsidRPr="004039FB">
        <w:t>1</w:t>
      </w:r>
      <w:r w:rsidR="00646AD8" w:rsidRPr="004039FB">
        <w:t>.</w:t>
      </w:r>
      <w:r w:rsidR="00396210" w:rsidRPr="004039FB">
        <w:t xml:space="preserve"> </w:t>
      </w:r>
      <w:r w:rsidR="0006153D" w:rsidRPr="004039FB">
        <w:t>Зі змісту конституційної скарги та долучених до неї матеріалів убачається</w:t>
      </w:r>
      <w:r w:rsidR="00E57426" w:rsidRPr="004039FB">
        <w:t xml:space="preserve"> таке.</w:t>
      </w:r>
    </w:p>
    <w:p w:rsidR="00754AF3" w:rsidRPr="004039FB" w:rsidRDefault="00754AF3" w:rsidP="004039FB">
      <w:pPr>
        <w:pStyle w:val="af7"/>
        <w:spacing w:line="372" w:lineRule="auto"/>
        <w:ind w:firstLine="567"/>
      </w:pPr>
      <w:proofErr w:type="spellStart"/>
      <w:r w:rsidRPr="004039FB">
        <w:t>Проданюк</w:t>
      </w:r>
      <w:proofErr w:type="spellEnd"/>
      <w:r w:rsidRPr="004039FB">
        <w:t xml:space="preserve"> Б.М. у березні 2025 року звернувся до Ніжинського міськрайонного суду Чернігівської області зі скаргою на бездіяльність посадових осіб Ніжинського районного управління поліції Головного управління Національної поліції України в Чернігівській області</w:t>
      </w:r>
      <w:r w:rsidR="00FA4113">
        <w:t>,</w:t>
      </w:r>
      <w:r w:rsidRPr="004039FB">
        <w:t xml:space="preserve"> яка полягала у невнесенні відомостей до Єдиного реєстру досудових розслідувань, викладених у його заяві від 6 березня 2025 року про вчинення невідомими особами кримінальног</w:t>
      </w:r>
      <w:r w:rsidR="004039FB">
        <w:t xml:space="preserve">о правопорушення, </w:t>
      </w:r>
      <w:r w:rsidR="00FA4113">
        <w:t xml:space="preserve">визначеного </w:t>
      </w:r>
      <w:r w:rsidRPr="004039FB">
        <w:t>частиною першою статті 182 Кримінального кодексу України.</w:t>
      </w:r>
    </w:p>
    <w:p w:rsidR="00754AF3" w:rsidRPr="004039FB" w:rsidRDefault="00754AF3" w:rsidP="004039FB">
      <w:pPr>
        <w:pStyle w:val="af7"/>
        <w:spacing w:line="372" w:lineRule="auto"/>
        <w:ind w:firstLine="567"/>
      </w:pPr>
      <w:r w:rsidRPr="004039FB">
        <w:t xml:space="preserve">У заяві про кримінальне правопорушення від 6 березня 2025 року </w:t>
      </w:r>
      <w:r w:rsidR="00982112" w:rsidRPr="004039FB">
        <w:br/>
      </w:r>
      <w:proofErr w:type="spellStart"/>
      <w:r w:rsidRPr="004039FB">
        <w:t>Проданюк</w:t>
      </w:r>
      <w:proofErr w:type="spellEnd"/>
      <w:r w:rsidRPr="004039FB">
        <w:t xml:space="preserve"> Б.М. стверджував, що невідомі особи у серпні 2024 року використали його персональні дані (прізвище, ім’я, по батькові, місце проживання) та додали підроблений підпис для заповнення електронного звернення на офіційному </w:t>
      </w:r>
      <w:proofErr w:type="spellStart"/>
      <w:r w:rsidR="000E759C">
        <w:t>веб</w:t>
      </w:r>
      <w:r w:rsidRPr="004039FB">
        <w:t>сайті</w:t>
      </w:r>
      <w:proofErr w:type="spellEnd"/>
      <w:r w:rsidRPr="004039FB">
        <w:t xml:space="preserve"> Державної служби України з питань безпечності харчових продуктів та захисту споживачів. У зверненні повідомлялося про порушення Комунальним підприємством „Виробниче управління комунального господ</w:t>
      </w:r>
      <w:r w:rsidR="007214E8" w:rsidRPr="004039FB">
        <w:t>арства“</w:t>
      </w:r>
      <w:r w:rsidRPr="004039FB">
        <w:t xml:space="preserve"> вимог щодо порядку формування, встановлення та застосування тарифу на послуги з управління побутовими відходами.</w:t>
      </w:r>
    </w:p>
    <w:p w:rsidR="00754AF3" w:rsidRPr="004039FB" w:rsidRDefault="00754AF3" w:rsidP="004039FB">
      <w:pPr>
        <w:pStyle w:val="af7"/>
        <w:spacing w:line="372" w:lineRule="auto"/>
        <w:ind w:firstLine="567"/>
      </w:pPr>
      <w:r w:rsidRPr="004039FB">
        <w:t xml:space="preserve">Слідчий суддя Ніжинського міськрайонного суду Чернігівської області ухвалою від 14 березня 2025 року скаргу </w:t>
      </w:r>
      <w:proofErr w:type="spellStart"/>
      <w:r w:rsidRPr="004039FB">
        <w:t>Проданюка</w:t>
      </w:r>
      <w:proofErr w:type="spellEnd"/>
      <w:r w:rsidRPr="004039FB">
        <w:t xml:space="preserve"> Б.М. залишив без задоволення.</w:t>
      </w:r>
    </w:p>
    <w:p w:rsidR="00754AF3" w:rsidRPr="004039FB" w:rsidRDefault="00BB6E29" w:rsidP="000E759C">
      <w:pPr>
        <w:pStyle w:val="af7"/>
        <w:spacing w:line="384" w:lineRule="auto"/>
        <w:ind w:firstLine="567"/>
      </w:pPr>
      <w:r w:rsidRPr="004039FB">
        <w:lastRenderedPageBreak/>
        <w:t xml:space="preserve">Не погодившись </w:t>
      </w:r>
      <w:r w:rsidR="00FA4113">
        <w:t>і</w:t>
      </w:r>
      <w:r w:rsidRPr="004039FB">
        <w:t>з у</w:t>
      </w:r>
      <w:r w:rsidR="00754AF3" w:rsidRPr="004039FB">
        <w:t xml:space="preserve">казаною ухвалою </w:t>
      </w:r>
      <w:proofErr w:type="spellStart"/>
      <w:r w:rsidR="00754AF3" w:rsidRPr="004039FB">
        <w:t>Проданюк</w:t>
      </w:r>
      <w:proofErr w:type="spellEnd"/>
      <w:r w:rsidR="00754AF3" w:rsidRPr="004039FB">
        <w:t xml:space="preserve"> Б</w:t>
      </w:r>
      <w:r w:rsidR="00FA4113">
        <w:t>.</w:t>
      </w:r>
      <w:r w:rsidR="00754AF3" w:rsidRPr="004039FB">
        <w:t>М. звернувся до Чернігівського апеляційного суду з апеляційною скаргою.</w:t>
      </w:r>
    </w:p>
    <w:p w:rsidR="00754AF3" w:rsidRPr="004039FB" w:rsidRDefault="00754AF3" w:rsidP="000E759C">
      <w:pPr>
        <w:pStyle w:val="af7"/>
        <w:spacing w:line="384" w:lineRule="auto"/>
        <w:ind w:firstLine="567"/>
      </w:pPr>
      <w:r w:rsidRPr="004039FB">
        <w:t xml:space="preserve">Чернігівський апеляційний суд ухвалою від 25 березня 2025 року апеляційну скаргу </w:t>
      </w:r>
      <w:proofErr w:type="spellStart"/>
      <w:r w:rsidRPr="004039FB">
        <w:t>Проданюка</w:t>
      </w:r>
      <w:proofErr w:type="spellEnd"/>
      <w:r w:rsidRPr="004039FB">
        <w:t xml:space="preserve"> Б.М. залишив без задоволення, а ухвалу слідчого судді Ніжинського міськрайонного суду Чернігівської області від 14 березня 2025 року ‒ без змін. </w:t>
      </w:r>
      <w:r w:rsidR="006C006D" w:rsidRPr="004039FB">
        <w:t>В ухвалі суд ап</w:t>
      </w:r>
      <w:r w:rsidR="004039FB">
        <w:t>еляційної інстанції послався на</w:t>
      </w:r>
      <w:r w:rsidR="004039FB">
        <w:br/>
      </w:r>
      <w:r w:rsidR="006C006D" w:rsidRPr="004039FB">
        <w:t xml:space="preserve">частину першу, абзац перший частини другої статті 11 Закону та зазначив, що </w:t>
      </w:r>
      <w:r w:rsidR="00BA2DD1" w:rsidRPr="004039FB">
        <w:t>зміст інформації, як</w:t>
      </w:r>
      <w:r w:rsidR="00BB6E29" w:rsidRPr="004039FB">
        <w:t>у</w:t>
      </w:r>
      <w:r w:rsidR="00BA2DD1" w:rsidRPr="004039FB">
        <w:t xml:space="preserve"> надав суду </w:t>
      </w:r>
      <w:proofErr w:type="spellStart"/>
      <w:r w:rsidR="00FA4113" w:rsidRPr="004039FB">
        <w:t>Проданюк</w:t>
      </w:r>
      <w:proofErr w:type="spellEnd"/>
      <w:r w:rsidR="00FA4113" w:rsidRPr="004039FB">
        <w:t xml:space="preserve"> Б</w:t>
      </w:r>
      <w:r w:rsidR="00FA4113">
        <w:t>.</w:t>
      </w:r>
      <w:r w:rsidR="00FA4113" w:rsidRPr="004039FB">
        <w:t>М.</w:t>
      </w:r>
      <w:r w:rsidR="00BA2DD1" w:rsidRPr="004039FB">
        <w:t xml:space="preserve">, </w:t>
      </w:r>
      <w:r w:rsidR="00BB6E29" w:rsidRPr="004039FB">
        <w:t>„</w:t>
      </w:r>
      <w:r w:rsidR="00BA2DD1" w:rsidRPr="004039FB">
        <w:t xml:space="preserve">не містить достатньо даних для внесення відомостей до ЄРДР та початку досудового розслідування“. Крім того, </w:t>
      </w:r>
      <w:r w:rsidR="00014AC9" w:rsidRPr="004039FB">
        <w:t xml:space="preserve">апеляційний суд зазначив, що </w:t>
      </w:r>
      <w:r w:rsidR="00BA2DD1" w:rsidRPr="004039FB">
        <w:t>„</w:t>
      </w:r>
      <w:r w:rsidR="00014AC9" w:rsidRPr="004039FB">
        <w:t>фактично та інформація про яку вказує скаржник, як конфіденційна, не є такою, оскільки не відповідає положенням Закону &lt;…&gt;</w:t>
      </w:r>
      <w:r w:rsidR="00BA2DD1" w:rsidRPr="004039FB">
        <w:t>“.</w:t>
      </w:r>
      <w:r w:rsidR="00014AC9" w:rsidRPr="004039FB">
        <w:t xml:space="preserve"> </w:t>
      </w:r>
    </w:p>
    <w:p w:rsidR="00D753BD" w:rsidRPr="004039FB" w:rsidRDefault="00D753BD" w:rsidP="000E759C">
      <w:pPr>
        <w:pStyle w:val="af7"/>
        <w:spacing w:line="384" w:lineRule="auto"/>
        <w:ind w:firstLine="567"/>
      </w:pPr>
    </w:p>
    <w:p w:rsidR="00535473" w:rsidRPr="004039FB" w:rsidRDefault="006E64F1" w:rsidP="000E759C">
      <w:pPr>
        <w:pStyle w:val="af7"/>
        <w:spacing w:line="384" w:lineRule="auto"/>
        <w:ind w:firstLine="567"/>
      </w:pPr>
      <w:r w:rsidRPr="004039FB">
        <w:t>1.2.</w:t>
      </w:r>
      <w:r w:rsidR="00396210" w:rsidRPr="004039FB">
        <w:t xml:space="preserve"> </w:t>
      </w:r>
      <w:proofErr w:type="spellStart"/>
      <w:r w:rsidR="007A537E" w:rsidRPr="004039FB">
        <w:t>Проданюк</w:t>
      </w:r>
      <w:proofErr w:type="spellEnd"/>
      <w:r w:rsidR="007A537E" w:rsidRPr="004039FB">
        <w:t xml:space="preserve"> Б.М. </w:t>
      </w:r>
      <w:r w:rsidR="004C5462" w:rsidRPr="004039FB">
        <w:t xml:space="preserve">твердить, що </w:t>
      </w:r>
      <w:r w:rsidR="00535473" w:rsidRPr="004039FB">
        <w:t>„застосування приписів ч. 2 ст. 11 Закону &lt;…&gt; порушує гарантоване Конституцією України право скаржника на невтручання в його особисте і сімейне життя, оскільки збирання, зберігання, використання та поширення конфіденційної інформації про особу без її згоди державою, органами місцевого самоврядування, юридичними або фізичними особами є втручання в її особисте та сімейне життя“, а також „позбавляє &lt;…&gt; права на захист від кримінального правопорушення (проступку) за</w:t>
      </w:r>
      <w:r w:rsidR="004039FB">
        <w:br/>
      </w:r>
      <w:r w:rsidR="00535473" w:rsidRPr="004039FB">
        <w:t>порушення недоторканості приватного життя, яке передбачено ч. 1 ст. 182</w:t>
      </w:r>
      <w:r w:rsidR="004039FB">
        <w:br/>
      </w:r>
      <w:r w:rsidR="00535473" w:rsidRPr="004039FB">
        <w:t>КК України“.</w:t>
      </w:r>
    </w:p>
    <w:p w:rsidR="002A1AE9" w:rsidRPr="004039FB" w:rsidRDefault="002A1AE9" w:rsidP="000E759C">
      <w:pPr>
        <w:pStyle w:val="af7"/>
        <w:spacing w:line="384" w:lineRule="auto"/>
        <w:ind w:firstLine="567"/>
      </w:pPr>
      <w:r w:rsidRPr="004039FB">
        <w:t xml:space="preserve">Обґрунтовуючи свої твердження, </w:t>
      </w:r>
      <w:r w:rsidR="00860708" w:rsidRPr="004039FB">
        <w:t xml:space="preserve">суб’єкт права на конституційну скаргу </w:t>
      </w:r>
      <w:r w:rsidR="00716B4F" w:rsidRPr="004039FB">
        <w:t>наводить</w:t>
      </w:r>
      <w:r w:rsidRPr="004039FB">
        <w:t xml:space="preserve"> приписи Конституції України, </w:t>
      </w:r>
      <w:r w:rsidR="00535473" w:rsidRPr="004039FB">
        <w:t>Закону</w:t>
      </w:r>
      <w:r w:rsidR="00BD541F" w:rsidRPr="004039FB">
        <w:t xml:space="preserve">, </w:t>
      </w:r>
      <w:r w:rsidR="000E0EFD" w:rsidRPr="004039FB">
        <w:t xml:space="preserve">посилається </w:t>
      </w:r>
      <w:r w:rsidR="00535473" w:rsidRPr="004039FB">
        <w:t xml:space="preserve">на </w:t>
      </w:r>
      <w:r w:rsidR="006F6AD8" w:rsidRPr="004039FB">
        <w:t>Р</w:t>
      </w:r>
      <w:r w:rsidR="00535473" w:rsidRPr="004039FB">
        <w:t>ішення Конституційного Суду України</w:t>
      </w:r>
      <w:r w:rsidR="006F6AD8" w:rsidRPr="004039FB">
        <w:t xml:space="preserve"> від 20 січня 2012 року № 2</w:t>
      </w:r>
      <w:r w:rsidR="004039FB">
        <w:t>-</w:t>
      </w:r>
      <w:r w:rsidR="006F6AD8" w:rsidRPr="004039FB">
        <w:t xml:space="preserve">рп/2012, </w:t>
      </w:r>
      <w:r w:rsidR="004039FB">
        <w:t>а також</w:t>
      </w:r>
      <w:r w:rsidR="004039FB">
        <w:br/>
      </w:r>
      <w:r w:rsidR="00204F3E" w:rsidRPr="004039FB">
        <w:t xml:space="preserve">на </w:t>
      </w:r>
      <w:r w:rsidR="007A16A6" w:rsidRPr="004039FB">
        <w:t>судов</w:t>
      </w:r>
      <w:r w:rsidR="00204F3E" w:rsidRPr="004039FB">
        <w:t>і</w:t>
      </w:r>
      <w:r w:rsidR="007A16A6" w:rsidRPr="004039FB">
        <w:t xml:space="preserve"> рішення </w:t>
      </w:r>
      <w:r w:rsidRPr="004039FB">
        <w:t xml:space="preserve">у </w:t>
      </w:r>
      <w:r w:rsidR="00FA4113">
        <w:t>своїй</w:t>
      </w:r>
      <w:r w:rsidR="00204F3E" w:rsidRPr="004039FB">
        <w:t xml:space="preserve"> справі, копії</w:t>
      </w:r>
      <w:r w:rsidRPr="004039FB">
        <w:t xml:space="preserve"> як</w:t>
      </w:r>
      <w:r w:rsidR="00204F3E" w:rsidRPr="004039FB">
        <w:t>их</w:t>
      </w:r>
      <w:r w:rsidRPr="004039FB">
        <w:t xml:space="preserve"> долучен</w:t>
      </w:r>
      <w:r w:rsidR="004225FB" w:rsidRPr="004039FB">
        <w:t>о</w:t>
      </w:r>
      <w:r w:rsidR="004039FB">
        <w:t xml:space="preserve"> до конституційної</w:t>
      </w:r>
      <w:r w:rsidR="004039FB">
        <w:br/>
      </w:r>
      <w:r w:rsidRPr="004039FB">
        <w:t>скарги.</w:t>
      </w:r>
    </w:p>
    <w:p w:rsidR="008A7944" w:rsidRPr="004039FB" w:rsidRDefault="00B4226B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lastRenderedPageBreak/>
        <w:t>2.</w:t>
      </w:r>
      <w:r w:rsidR="00396210" w:rsidRPr="004039FB">
        <w:rPr>
          <w:rFonts w:ascii="Times New Roman" w:hAnsi="Times New Roman"/>
          <w:sz w:val="28"/>
          <w:szCs w:val="28"/>
        </w:rPr>
        <w:t xml:space="preserve"> </w:t>
      </w:r>
      <w:r w:rsidR="008A7944" w:rsidRPr="004039FB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982112" w:rsidRPr="004039FB" w:rsidRDefault="00982112" w:rsidP="004039FB">
      <w:pPr>
        <w:pStyle w:val="af7"/>
        <w:spacing w:line="372" w:lineRule="auto"/>
        <w:ind w:firstLine="567"/>
      </w:pPr>
      <w:r w:rsidRPr="004039FB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77).</w:t>
      </w:r>
    </w:p>
    <w:p w:rsidR="00982112" w:rsidRPr="004039FB" w:rsidRDefault="00982112" w:rsidP="004039FB">
      <w:pPr>
        <w:pStyle w:val="af7"/>
        <w:spacing w:line="372" w:lineRule="auto"/>
        <w:ind w:firstLine="567"/>
      </w:pPr>
      <w:r w:rsidRPr="004039FB">
        <w:t xml:space="preserve">Із аналізу конституційної скарги вбачається, що </w:t>
      </w:r>
      <w:proofErr w:type="spellStart"/>
      <w:r w:rsidRPr="004039FB">
        <w:t>Проданюк</w:t>
      </w:r>
      <w:proofErr w:type="spellEnd"/>
      <w:r w:rsidRPr="004039FB">
        <w:t xml:space="preserve"> Б.М., твердячи про невідповідність Конституції України (неконституційність) другого речення абзацу першого частини другої статті 11 Закону, не обґрунтував, як саме оспорюваний припис Закону порушує його конституційне право на </w:t>
      </w:r>
      <w:r w:rsidR="00932421" w:rsidRPr="004039FB">
        <w:t>невтручання в його особисте і сімейне життя</w:t>
      </w:r>
      <w:r w:rsidRPr="004039FB">
        <w:t xml:space="preserve">, та не аргументував своїх тверджень щодо </w:t>
      </w:r>
      <w:r w:rsidR="00932421" w:rsidRPr="004039FB">
        <w:t>його</w:t>
      </w:r>
      <w:r w:rsidRPr="004039FB">
        <w:t xml:space="preserve"> невідповідності </w:t>
      </w:r>
      <w:r w:rsidR="00932421" w:rsidRPr="004039FB">
        <w:t xml:space="preserve">частині першій статті 32 </w:t>
      </w:r>
      <w:r w:rsidRPr="004039FB">
        <w:t>Конституції України</w:t>
      </w:r>
      <w:r w:rsidR="00C56D6E" w:rsidRPr="004039FB">
        <w:t>.</w:t>
      </w:r>
    </w:p>
    <w:p w:rsidR="00982112" w:rsidRPr="004039FB" w:rsidRDefault="00982112" w:rsidP="004039FB">
      <w:pPr>
        <w:pStyle w:val="af7"/>
        <w:spacing w:line="372" w:lineRule="auto"/>
        <w:ind w:firstLine="567"/>
      </w:pPr>
      <w:r w:rsidRPr="004039FB">
        <w:t xml:space="preserve">Суб’єкт права на конституційну скаргу обмежився цитуванням Конституції України, </w:t>
      </w:r>
      <w:r w:rsidR="00932421" w:rsidRPr="004039FB">
        <w:t xml:space="preserve">Закону, посиланням на Рішення Конституційного Суду України </w:t>
      </w:r>
      <w:r w:rsidR="00932421" w:rsidRPr="004039FB">
        <w:br/>
        <w:t>від 20 січня 2012 року № 2</w:t>
      </w:r>
      <w:r w:rsidR="000E759C">
        <w:t>-</w:t>
      </w:r>
      <w:r w:rsidR="00932421" w:rsidRPr="004039FB">
        <w:t>рп/2012</w:t>
      </w:r>
      <w:r w:rsidRPr="004039FB">
        <w:t xml:space="preserve"> та фактично висловив незгоду із </w:t>
      </w:r>
      <w:r w:rsidR="00932421" w:rsidRPr="004039FB">
        <w:t xml:space="preserve">судовими рішеннями у своїй справі, зокрема в частині застосування </w:t>
      </w:r>
      <w:r w:rsidRPr="004039FB">
        <w:t>судами у цій справі оспорюван</w:t>
      </w:r>
      <w:r w:rsidR="00932421" w:rsidRPr="004039FB">
        <w:t>ого</w:t>
      </w:r>
      <w:r w:rsidRPr="004039FB">
        <w:t xml:space="preserve"> припис</w:t>
      </w:r>
      <w:r w:rsidR="00932421" w:rsidRPr="004039FB">
        <w:t>у</w:t>
      </w:r>
      <w:r w:rsidRPr="004039FB">
        <w:t xml:space="preserve"> Закону.</w:t>
      </w:r>
    </w:p>
    <w:p w:rsidR="00982112" w:rsidRPr="004039FB" w:rsidRDefault="00982112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 xml:space="preserve">Конституційний Суд України неодноразово вказував, що особа, яка звертається до Конституційного Суду України, повинна не лише зазначити, а й обґрунтувати, як саме закон (його окремі приписи), який був застосований в остаточному судовому рішенні в її справі, порушує її гарантоване Конституцією України право [ухвали Першого сенату Конституційного Суду України </w:t>
      </w:r>
      <w:r w:rsidRPr="004039FB">
        <w:rPr>
          <w:rFonts w:ascii="Times New Roman" w:hAnsi="Times New Roman"/>
          <w:sz w:val="28"/>
          <w:szCs w:val="28"/>
        </w:rPr>
        <w:br/>
        <w:t xml:space="preserve">від 13 червня 2018 року № 20-у(І)/2018, Другого сенату Конституційного Суду України від 10 травня 2023 року № 35-у(II)/2023]; цитування Конституції </w:t>
      </w:r>
      <w:r w:rsidRPr="004039FB">
        <w:rPr>
          <w:rFonts w:ascii="Times New Roman" w:hAnsi="Times New Roman"/>
          <w:sz w:val="28"/>
          <w:szCs w:val="28"/>
        </w:rPr>
        <w:lastRenderedPageBreak/>
        <w:t>України, наведення змісту законів України без аргументації невідповідності Конституції України оспорюваних норм закону України не є обґрунтуванням тверджень щодо їх неконституційності [ухвали Великої палати Конституційного Суду України від 24 травня 2018 року № 23-у/2018, від 24 травня 2018 року</w:t>
      </w:r>
      <w:r w:rsidR="004039FB">
        <w:rPr>
          <w:rFonts w:ascii="Times New Roman" w:hAnsi="Times New Roman"/>
          <w:sz w:val="28"/>
          <w:szCs w:val="28"/>
        </w:rPr>
        <w:br/>
      </w:r>
      <w:r w:rsidRPr="004039FB">
        <w:rPr>
          <w:rFonts w:ascii="Times New Roman" w:hAnsi="Times New Roman"/>
          <w:sz w:val="28"/>
          <w:szCs w:val="28"/>
        </w:rPr>
        <w:t>№ 24-у/2018, від 31 травня 2018 року № 27-у/2018, від 7 червня 2018 року</w:t>
      </w:r>
      <w:r w:rsidR="004039FB">
        <w:rPr>
          <w:rFonts w:ascii="Times New Roman" w:hAnsi="Times New Roman"/>
          <w:sz w:val="28"/>
          <w:szCs w:val="28"/>
        </w:rPr>
        <w:br/>
      </w:r>
      <w:r w:rsidRPr="004039FB">
        <w:rPr>
          <w:rFonts w:ascii="Times New Roman" w:hAnsi="Times New Roman"/>
          <w:sz w:val="28"/>
          <w:szCs w:val="28"/>
        </w:rPr>
        <w:t>№ 34-у/2018, Ухвала Першого сенату Конституційного Суду України</w:t>
      </w:r>
      <w:r w:rsidR="004039FB">
        <w:rPr>
          <w:rFonts w:ascii="Times New Roman" w:hAnsi="Times New Roman"/>
          <w:sz w:val="28"/>
          <w:szCs w:val="28"/>
        </w:rPr>
        <w:br/>
      </w:r>
      <w:r w:rsidRPr="004039FB">
        <w:rPr>
          <w:rFonts w:ascii="Times New Roman" w:hAnsi="Times New Roman"/>
          <w:sz w:val="28"/>
          <w:szCs w:val="28"/>
        </w:rPr>
        <w:t xml:space="preserve">від 22 березня 2023 року № 3-уп(І)/2023]; незгоду з судовими рішеннями не можна вважати обґрунтуванням тверджень щодо неконституційності оспорюваних </w:t>
      </w:r>
      <w:r w:rsidR="00FA4113">
        <w:rPr>
          <w:rFonts w:ascii="Times New Roman" w:hAnsi="Times New Roman"/>
          <w:sz w:val="28"/>
          <w:szCs w:val="28"/>
        </w:rPr>
        <w:t>приписів</w:t>
      </w:r>
      <w:r w:rsidRPr="004039FB">
        <w:rPr>
          <w:rFonts w:ascii="Times New Roman" w:hAnsi="Times New Roman"/>
          <w:sz w:val="28"/>
          <w:szCs w:val="28"/>
        </w:rPr>
        <w:t xml:space="preserve"> закону [ухвали Другого сенату Конституційного Суду України від 6 червня 2018 року № 17-у(ІІ)/2018, від 23 лютого 2022 року</w:t>
      </w:r>
      <w:r w:rsidR="004039FB">
        <w:rPr>
          <w:rFonts w:ascii="Times New Roman" w:hAnsi="Times New Roman"/>
          <w:sz w:val="28"/>
          <w:szCs w:val="28"/>
        </w:rPr>
        <w:br/>
      </w:r>
      <w:r w:rsidRPr="004039FB">
        <w:rPr>
          <w:rFonts w:ascii="Times New Roman" w:hAnsi="Times New Roman"/>
          <w:sz w:val="28"/>
          <w:szCs w:val="28"/>
        </w:rPr>
        <w:t>№ 5-у(II)/2022, від 7 вересня 2022 року № 5-уп(II)/2022].</w:t>
      </w:r>
    </w:p>
    <w:p w:rsidR="00982112" w:rsidRPr="004039FB" w:rsidRDefault="00982112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 xml:space="preserve">Наведене свідчить, що </w:t>
      </w:r>
      <w:proofErr w:type="spellStart"/>
      <w:r w:rsidR="00932421" w:rsidRPr="004039FB">
        <w:rPr>
          <w:rFonts w:ascii="Times New Roman" w:hAnsi="Times New Roman"/>
          <w:sz w:val="28"/>
          <w:szCs w:val="28"/>
        </w:rPr>
        <w:t>Проданюк</w:t>
      </w:r>
      <w:proofErr w:type="spellEnd"/>
      <w:r w:rsidR="00932421" w:rsidRPr="004039FB">
        <w:rPr>
          <w:rFonts w:ascii="Times New Roman" w:hAnsi="Times New Roman"/>
          <w:sz w:val="28"/>
          <w:szCs w:val="28"/>
        </w:rPr>
        <w:t xml:space="preserve"> Б.М.</w:t>
      </w:r>
      <w:r w:rsidRPr="004039FB">
        <w:rPr>
          <w:rFonts w:ascii="Times New Roman" w:hAnsi="Times New Roman"/>
          <w:sz w:val="28"/>
          <w:szCs w:val="28"/>
        </w:rPr>
        <w:t xml:space="preserve"> не обґрунтував тверджень щодо неконституційності </w:t>
      </w:r>
      <w:r w:rsidR="00932421" w:rsidRPr="004039FB">
        <w:rPr>
          <w:rFonts w:ascii="Times New Roman" w:hAnsi="Times New Roman"/>
          <w:sz w:val="28"/>
          <w:szCs w:val="28"/>
        </w:rPr>
        <w:t>другого речення абзацу першого частини другої статті 11 Закону</w:t>
      </w:r>
      <w:r w:rsidRPr="004039FB">
        <w:rPr>
          <w:rFonts w:ascii="Times New Roman" w:hAnsi="Times New Roman"/>
          <w:sz w:val="28"/>
          <w:szCs w:val="28"/>
        </w:rPr>
        <w:t xml:space="preserve">, а отже, не дотримав вимог пункту 6 частини другої статті 55 </w:t>
      </w:r>
      <w:r w:rsidR="00932421" w:rsidRPr="004039FB">
        <w:rPr>
          <w:rFonts w:ascii="Times New Roman" w:hAnsi="Times New Roman"/>
          <w:sz w:val="28"/>
          <w:szCs w:val="28"/>
        </w:rPr>
        <w:br/>
      </w:r>
      <w:r w:rsidRPr="004039FB">
        <w:rPr>
          <w:rFonts w:ascii="Times New Roman" w:hAnsi="Times New Roman"/>
          <w:sz w:val="28"/>
          <w:szCs w:val="28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4039FB" w:rsidRDefault="004039FB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4039FB" w:rsidRDefault="00041BFE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4039FB">
        <w:rPr>
          <w:rFonts w:ascii="Times New Roman" w:hAnsi="Times New Roman"/>
          <w:sz w:val="28"/>
          <w:szCs w:val="28"/>
          <w:vertAlign w:val="superscript"/>
        </w:rPr>
        <w:t>1</w:t>
      </w:r>
      <w:r w:rsidRPr="004039FB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4039FB" w:rsidRDefault="00C5673C" w:rsidP="004039FB">
      <w:pPr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4039FB" w:rsidRDefault="00120FB6" w:rsidP="004039FB">
      <w:pPr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FB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4039FB" w:rsidRDefault="00120FB6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4039FB" w:rsidRDefault="00E81884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>1.</w:t>
      </w:r>
      <w:r w:rsidR="0065347F" w:rsidRPr="004039FB">
        <w:rPr>
          <w:rFonts w:ascii="Times New Roman" w:hAnsi="Times New Roman"/>
          <w:sz w:val="28"/>
          <w:szCs w:val="28"/>
        </w:rPr>
        <w:t xml:space="preserve"> </w:t>
      </w:r>
      <w:r w:rsidR="008A6693" w:rsidRPr="004039FB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proofErr w:type="spellStart"/>
      <w:r w:rsidR="00A90FF3" w:rsidRPr="004039FB">
        <w:rPr>
          <w:rFonts w:ascii="Times New Roman" w:hAnsi="Times New Roman"/>
          <w:sz w:val="28"/>
          <w:szCs w:val="28"/>
        </w:rPr>
        <w:t>Проданюка</w:t>
      </w:r>
      <w:proofErr w:type="spellEnd"/>
      <w:r w:rsidR="00A90FF3" w:rsidRPr="004039FB">
        <w:rPr>
          <w:rFonts w:ascii="Times New Roman" w:hAnsi="Times New Roman"/>
          <w:sz w:val="28"/>
          <w:szCs w:val="28"/>
        </w:rPr>
        <w:t xml:space="preserve"> Богдана Михайловича щодо відповідності Конституції України (конституційності) другого речення абзацу першого </w:t>
      </w:r>
      <w:r w:rsidR="00A90FF3" w:rsidRPr="004039FB">
        <w:rPr>
          <w:rFonts w:ascii="Times New Roman" w:hAnsi="Times New Roman"/>
          <w:sz w:val="28"/>
          <w:szCs w:val="28"/>
        </w:rPr>
        <w:br/>
      </w:r>
      <w:r w:rsidR="00A90FF3" w:rsidRPr="004039FB">
        <w:rPr>
          <w:rFonts w:ascii="Times New Roman" w:hAnsi="Times New Roman"/>
          <w:sz w:val="28"/>
          <w:szCs w:val="28"/>
        </w:rPr>
        <w:lastRenderedPageBreak/>
        <w:t xml:space="preserve">частини другої статті 11 Закону України „Про інформацію“ від 2 жовтня </w:t>
      </w:r>
      <w:r w:rsidR="00A90FF3" w:rsidRPr="004039FB">
        <w:rPr>
          <w:rFonts w:ascii="Times New Roman" w:hAnsi="Times New Roman"/>
          <w:sz w:val="28"/>
          <w:szCs w:val="28"/>
        </w:rPr>
        <w:br/>
        <w:t xml:space="preserve">1992 року № 2657–ХІІ зі змінами </w:t>
      </w:r>
      <w:r w:rsidR="008A6693" w:rsidRPr="004039FB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AE286F" w:rsidRPr="004039FB" w:rsidRDefault="00AE286F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Pr="004039FB" w:rsidRDefault="004F51F7" w:rsidP="004039FB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9FB">
        <w:rPr>
          <w:rFonts w:ascii="Times New Roman" w:hAnsi="Times New Roman"/>
          <w:sz w:val="28"/>
          <w:szCs w:val="28"/>
        </w:rPr>
        <w:t xml:space="preserve">2. </w:t>
      </w:r>
      <w:r w:rsidR="007E4E77" w:rsidRPr="004039FB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8A6693" w:rsidRDefault="008A6693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9FB" w:rsidRDefault="004039FB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9FB" w:rsidRDefault="004039FB" w:rsidP="00403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BAD" w:rsidRPr="00927BAD" w:rsidRDefault="00927BAD" w:rsidP="00927BA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_GoBack"/>
      <w:r w:rsidRPr="00927BAD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927BAD" w:rsidRPr="00927BAD" w:rsidRDefault="00927BAD" w:rsidP="00927BAD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7BAD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4039FB" w:rsidRPr="00927BAD" w:rsidRDefault="00927BAD" w:rsidP="00927BAD">
      <w:pPr>
        <w:spacing w:after="0" w:line="240" w:lineRule="auto"/>
        <w:ind w:left="4254"/>
        <w:jc w:val="center"/>
        <w:rPr>
          <w:rFonts w:ascii="Times New Roman" w:eastAsia="Arial Narrow" w:hAnsi="Times New Roman" w:cs="Arial Narrow"/>
          <w:b/>
          <w:caps/>
          <w:sz w:val="28"/>
          <w:szCs w:val="28"/>
        </w:rPr>
      </w:pPr>
      <w:r w:rsidRPr="00927BA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4039FB" w:rsidRPr="00927BAD" w:rsidSect="004039F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BB" w:rsidRDefault="00947ABB" w:rsidP="00626CE6">
      <w:pPr>
        <w:spacing w:after="0" w:line="240" w:lineRule="auto"/>
      </w:pPr>
      <w:r>
        <w:separator/>
      </w:r>
    </w:p>
  </w:endnote>
  <w:endnote w:type="continuationSeparator" w:id="0">
    <w:p w:rsidR="00947ABB" w:rsidRDefault="00947ABB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FB" w:rsidRPr="004039FB" w:rsidRDefault="004039FB">
    <w:pPr>
      <w:pStyle w:val="a5"/>
      <w:rPr>
        <w:rFonts w:ascii="Times New Roman" w:hAnsi="Times New Roman"/>
        <w:sz w:val="10"/>
        <w:szCs w:val="10"/>
      </w:rPr>
    </w:pPr>
    <w:r w:rsidRPr="004039FB">
      <w:rPr>
        <w:rFonts w:ascii="Times New Roman" w:hAnsi="Times New Roman"/>
        <w:sz w:val="10"/>
        <w:szCs w:val="10"/>
      </w:rPr>
      <w:fldChar w:fldCharType="begin"/>
    </w:r>
    <w:r w:rsidRPr="004039FB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4039FB">
      <w:rPr>
        <w:rFonts w:ascii="Times New Roman" w:hAnsi="Times New Roman"/>
        <w:sz w:val="10"/>
        <w:szCs w:val="10"/>
      </w:rPr>
      <w:fldChar w:fldCharType="separate"/>
    </w:r>
    <w:r w:rsidR="00927BAD">
      <w:rPr>
        <w:rFonts w:ascii="Times New Roman" w:hAnsi="Times New Roman"/>
        <w:noProof/>
        <w:sz w:val="10"/>
        <w:szCs w:val="10"/>
        <w:lang w:val="uk-UA"/>
      </w:rPr>
      <w:t>G:\2025\Suddi\II senat\III koleg\14.docx</w:t>
    </w:r>
    <w:r w:rsidRPr="004039F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9FB" w:rsidRPr="004039FB" w:rsidRDefault="004039FB">
    <w:pPr>
      <w:pStyle w:val="a5"/>
      <w:rPr>
        <w:rFonts w:ascii="Times New Roman" w:hAnsi="Times New Roman"/>
        <w:sz w:val="10"/>
        <w:szCs w:val="10"/>
      </w:rPr>
    </w:pPr>
    <w:r w:rsidRPr="004039FB">
      <w:rPr>
        <w:rFonts w:ascii="Times New Roman" w:hAnsi="Times New Roman"/>
        <w:sz w:val="10"/>
        <w:szCs w:val="10"/>
      </w:rPr>
      <w:fldChar w:fldCharType="begin"/>
    </w:r>
    <w:r w:rsidRPr="004039FB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4039FB">
      <w:rPr>
        <w:rFonts w:ascii="Times New Roman" w:hAnsi="Times New Roman"/>
        <w:sz w:val="10"/>
        <w:szCs w:val="10"/>
      </w:rPr>
      <w:fldChar w:fldCharType="separate"/>
    </w:r>
    <w:r w:rsidR="00927BAD">
      <w:rPr>
        <w:rFonts w:ascii="Times New Roman" w:hAnsi="Times New Roman"/>
        <w:noProof/>
        <w:sz w:val="10"/>
        <w:szCs w:val="10"/>
        <w:lang w:val="uk-UA"/>
      </w:rPr>
      <w:t>G:\2025\Suddi\II senat\III koleg\14.docx</w:t>
    </w:r>
    <w:r w:rsidRPr="004039F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BB" w:rsidRDefault="00947ABB" w:rsidP="00626CE6">
      <w:pPr>
        <w:spacing w:after="0" w:line="240" w:lineRule="auto"/>
      </w:pPr>
      <w:r>
        <w:separator/>
      </w:r>
    </w:p>
  </w:footnote>
  <w:footnote w:type="continuationSeparator" w:id="0">
    <w:p w:rsidR="00947ABB" w:rsidRDefault="00947ABB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4039FB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4039FB">
      <w:rPr>
        <w:rFonts w:ascii="Times New Roman" w:hAnsi="Times New Roman"/>
        <w:sz w:val="28"/>
        <w:szCs w:val="28"/>
      </w:rPr>
      <w:fldChar w:fldCharType="begin"/>
    </w:r>
    <w:r w:rsidRPr="004039FB">
      <w:rPr>
        <w:rFonts w:ascii="Times New Roman" w:hAnsi="Times New Roman"/>
        <w:sz w:val="28"/>
        <w:szCs w:val="28"/>
      </w:rPr>
      <w:instrText>PAGE   \* MERGEFORMAT</w:instrText>
    </w:r>
    <w:r w:rsidRPr="004039FB">
      <w:rPr>
        <w:rFonts w:ascii="Times New Roman" w:hAnsi="Times New Roman"/>
        <w:sz w:val="28"/>
        <w:szCs w:val="28"/>
      </w:rPr>
      <w:fldChar w:fldCharType="separate"/>
    </w:r>
    <w:r w:rsidR="00927BAD">
      <w:rPr>
        <w:rFonts w:ascii="Times New Roman" w:hAnsi="Times New Roman"/>
        <w:noProof/>
        <w:sz w:val="28"/>
        <w:szCs w:val="28"/>
      </w:rPr>
      <w:t>5</w:t>
    </w:r>
    <w:r w:rsidRPr="004039F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AC9"/>
    <w:rsid w:val="00014D87"/>
    <w:rsid w:val="000168DF"/>
    <w:rsid w:val="0002083F"/>
    <w:rsid w:val="00020E9C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BA2"/>
    <w:rsid w:val="00034A2D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2DBA"/>
    <w:rsid w:val="00053234"/>
    <w:rsid w:val="00053583"/>
    <w:rsid w:val="000568DE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19EA"/>
    <w:rsid w:val="00082A70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E0152"/>
    <w:rsid w:val="000E01B3"/>
    <w:rsid w:val="000E076D"/>
    <w:rsid w:val="000E0EFD"/>
    <w:rsid w:val="000E2D6A"/>
    <w:rsid w:val="000E2FC3"/>
    <w:rsid w:val="000E3495"/>
    <w:rsid w:val="000E34E5"/>
    <w:rsid w:val="000E401F"/>
    <w:rsid w:val="000E5A21"/>
    <w:rsid w:val="000E759C"/>
    <w:rsid w:val="000E7F58"/>
    <w:rsid w:val="000F285F"/>
    <w:rsid w:val="000F3BDB"/>
    <w:rsid w:val="000F43C4"/>
    <w:rsid w:val="000F450D"/>
    <w:rsid w:val="000F6D6F"/>
    <w:rsid w:val="00100DBA"/>
    <w:rsid w:val="00102020"/>
    <w:rsid w:val="001035EB"/>
    <w:rsid w:val="00104D24"/>
    <w:rsid w:val="00104EEE"/>
    <w:rsid w:val="00106551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29CF"/>
    <w:rsid w:val="00113524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73A"/>
    <w:rsid w:val="00136BD9"/>
    <w:rsid w:val="001404CD"/>
    <w:rsid w:val="00140F15"/>
    <w:rsid w:val="001418B8"/>
    <w:rsid w:val="00141E2D"/>
    <w:rsid w:val="0014685B"/>
    <w:rsid w:val="00147870"/>
    <w:rsid w:val="00151215"/>
    <w:rsid w:val="00151969"/>
    <w:rsid w:val="00152152"/>
    <w:rsid w:val="001521C7"/>
    <w:rsid w:val="00154047"/>
    <w:rsid w:val="00157E9D"/>
    <w:rsid w:val="00162240"/>
    <w:rsid w:val="001622E0"/>
    <w:rsid w:val="0016253A"/>
    <w:rsid w:val="00162734"/>
    <w:rsid w:val="00163A7E"/>
    <w:rsid w:val="00164BF3"/>
    <w:rsid w:val="001654C7"/>
    <w:rsid w:val="00165712"/>
    <w:rsid w:val="0016624D"/>
    <w:rsid w:val="00166519"/>
    <w:rsid w:val="00166DA2"/>
    <w:rsid w:val="001755F2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37CD"/>
    <w:rsid w:val="001B5C08"/>
    <w:rsid w:val="001B6242"/>
    <w:rsid w:val="001C0415"/>
    <w:rsid w:val="001C3856"/>
    <w:rsid w:val="001C608D"/>
    <w:rsid w:val="001C665E"/>
    <w:rsid w:val="001C70C0"/>
    <w:rsid w:val="001C7F71"/>
    <w:rsid w:val="001D084C"/>
    <w:rsid w:val="001D23B1"/>
    <w:rsid w:val="001D2442"/>
    <w:rsid w:val="001D2D64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3119"/>
    <w:rsid w:val="001E5AB1"/>
    <w:rsid w:val="001E5E99"/>
    <w:rsid w:val="001E6980"/>
    <w:rsid w:val="001E6B9B"/>
    <w:rsid w:val="001E7D05"/>
    <w:rsid w:val="001F07AD"/>
    <w:rsid w:val="001F1281"/>
    <w:rsid w:val="001F5547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E8E"/>
    <w:rsid w:val="00202EA5"/>
    <w:rsid w:val="00204BE4"/>
    <w:rsid w:val="00204F3E"/>
    <w:rsid w:val="002059D5"/>
    <w:rsid w:val="0020647A"/>
    <w:rsid w:val="0021424D"/>
    <w:rsid w:val="00214F8B"/>
    <w:rsid w:val="0021574D"/>
    <w:rsid w:val="002158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26FD"/>
    <w:rsid w:val="00233F7E"/>
    <w:rsid w:val="0023425A"/>
    <w:rsid w:val="00235020"/>
    <w:rsid w:val="00235549"/>
    <w:rsid w:val="00237400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88C"/>
    <w:rsid w:val="00262900"/>
    <w:rsid w:val="0026418C"/>
    <w:rsid w:val="00264B75"/>
    <w:rsid w:val="00265534"/>
    <w:rsid w:val="00265E95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70D4"/>
    <w:rsid w:val="00291854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BA1"/>
    <w:rsid w:val="002B2EC7"/>
    <w:rsid w:val="002B4065"/>
    <w:rsid w:val="002B4D9E"/>
    <w:rsid w:val="002B7B41"/>
    <w:rsid w:val="002B7D61"/>
    <w:rsid w:val="002C0DB6"/>
    <w:rsid w:val="002C2054"/>
    <w:rsid w:val="002C2E92"/>
    <w:rsid w:val="002C405C"/>
    <w:rsid w:val="002C4121"/>
    <w:rsid w:val="002C795F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5C61"/>
    <w:rsid w:val="002E6489"/>
    <w:rsid w:val="002E6897"/>
    <w:rsid w:val="002E720B"/>
    <w:rsid w:val="002F1B01"/>
    <w:rsid w:val="002F20AD"/>
    <w:rsid w:val="002F2A98"/>
    <w:rsid w:val="002F39D3"/>
    <w:rsid w:val="002F43D4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212C9"/>
    <w:rsid w:val="00324928"/>
    <w:rsid w:val="003270EF"/>
    <w:rsid w:val="00327615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890"/>
    <w:rsid w:val="00391C7F"/>
    <w:rsid w:val="00393D86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0899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39FB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25FB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47C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C41"/>
    <w:rsid w:val="00464958"/>
    <w:rsid w:val="004666D6"/>
    <w:rsid w:val="0046783F"/>
    <w:rsid w:val="00467C5F"/>
    <w:rsid w:val="00470939"/>
    <w:rsid w:val="00473AF6"/>
    <w:rsid w:val="00473B94"/>
    <w:rsid w:val="0047434A"/>
    <w:rsid w:val="004743E3"/>
    <w:rsid w:val="00474C0E"/>
    <w:rsid w:val="00475434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441B"/>
    <w:rsid w:val="0049449D"/>
    <w:rsid w:val="00496CF2"/>
    <w:rsid w:val="004972BE"/>
    <w:rsid w:val="004A1082"/>
    <w:rsid w:val="004A213D"/>
    <w:rsid w:val="004A3694"/>
    <w:rsid w:val="004A4F3F"/>
    <w:rsid w:val="004A7D74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5462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3898"/>
    <w:rsid w:val="004F4032"/>
    <w:rsid w:val="004F4831"/>
    <w:rsid w:val="004F51F7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5473"/>
    <w:rsid w:val="00536678"/>
    <w:rsid w:val="005371C0"/>
    <w:rsid w:val="00541E66"/>
    <w:rsid w:val="00541E6B"/>
    <w:rsid w:val="00541F9E"/>
    <w:rsid w:val="00542B59"/>
    <w:rsid w:val="00542EAD"/>
    <w:rsid w:val="005440EF"/>
    <w:rsid w:val="0054685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13D6"/>
    <w:rsid w:val="005B3F6F"/>
    <w:rsid w:val="005B4BCF"/>
    <w:rsid w:val="005C0379"/>
    <w:rsid w:val="005C0D28"/>
    <w:rsid w:val="005C3482"/>
    <w:rsid w:val="005C4ABC"/>
    <w:rsid w:val="005C673D"/>
    <w:rsid w:val="005C67DA"/>
    <w:rsid w:val="005C6AB4"/>
    <w:rsid w:val="005D39E9"/>
    <w:rsid w:val="005D6F18"/>
    <w:rsid w:val="005E1062"/>
    <w:rsid w:val="005E222C"/>
    <w:rsid w:val="005E2545"/>
    <w:rsid w:val="005E3127"/>
    <w:rsid w:val="005E4101"/>
    <w:rsid w:val="005E484E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27802"/>
    <w:rsid w:val="006303C3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2A3E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5FBD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6213"/>
    <w:rsid w:val="00697748"/>
    <w:rsid w:val="0069786C"/>
    <w:rsid w:val="006A2176"/>
    <w:rsid w:val="006A5F33"/>
    <w:rsid w:val="006A6236"/>
    <w:rsid w:val="006B03AE"/>
    <w:rsid w:val="006B0D14"/>
    <w:rsid w:val="006B21F4"/>
    <w:rsid w:val="006B4977"/>
    <w:rsid w:val="006B5443"/>
    <w:rsid w:val="006B61E4"/>
    <w:rsid w:val="006B78BE"/>
    <w:rsid w:val="006B792E"/>
    <w:rsid w:val="006C006D"/>
    <w:rsid w:val="006C02B6"/>
    <w:rsid w:val="006C0388"/>
    <w:rsid w:val="006C0598"/>
    <w:rsid w:val="006C0688"/>
    <w:rsid w:val="006C06CD"/>
    <w:rsid w:val="006C1CF8"/>
    <w:rsid w:val="006C2158"/>
    <w:rsid w:val="006C3A0A"/>
    <w:rsid w:val="006C3FD8"/>
    <w:rsid w:val="006C3FFF"/>
    <w:rsid w:val="006C66F9"/>
    <w:rsid w:val="006D07CC"/>
    <w:rsid w:val="006D0AEB"/>
    <w:rsid w:val="006D13D0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6AD8"/>
    <w:rsid w:val="006F750F"/>
    <w:rsid w:val="007027C4"/>
    <w:rsid w:val="00702C0B"/>
    <w:rsid w:val="00704291"/>
    <w:rsid w:val="007056F8"/>
    <w:rsid w:val="00706334"/>
    <w:rsid w:val="00706A65"/>
    <w:rsid w:val="00712601"/>
    <w:rsid w:val="00716B4F"/>
    <w:rsid w:val="00720A1C"/>
    <w:rsid w:val="00720B3B"/>
    <w:rsid w:val="00721113"/>
    <w:rsid w:val="007214E8"/>
    <w:rsid w:val="00722CB8"/>
    <w:rsid w:val="007247DC"/>
    <w:rsid w:val="007253E6"/>
    <w:rsid w:val="007266EC"/>
    <w:rsid w:val="0072680F"/>
    <w:rsid w:val="0072684D"/>
    <w:rsid w:val="00726F07"/>
    <w:rsid w:val="00727E4F"/>
    <w:rsid w:val="007307FA"/>
    <w:rsid w:val="00731F9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5494B"/>
    <w:rsid w:val="00754AF3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1F06"/>
    <w:rsid w:val="0079365C"/>
    <w:rsid w:val="00794BE2"/>
    <w:rsid w:val="00794D35"/>
    <w:rsid w:val="00794D91"/>
    <w:rsid w:val="00795527"/>
    <w:rsid w:val="00796839"/>
    <w:rsid w:val="007A1259"/>
    <w:rsid w:val="007A16A6"/>
    <w:rsid w:val="007A3E86"/>
    <w:rsid w:val="007A438F"/>
    <w:rsid w:val="007A537E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2A2A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7BB1"/>
    <w:rsid w:val="008004E2"/>
    <w:rsid w:val="00801A1A"/>
    <w:rsid w:val="008035B4"/>
    <w:rsid w:val="00803E12"/>
    <w:rsid w:val="008049CE"/>
    <w:rsid w:val="008050BD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42843"/>
    <w:rsid w:val="008428C1"/>
    <w:rsid w:val="00843964"/>
    <w:rsid w:val="0084559D"/>
    <w:rsid w:val="008519EF"/>
    <w:rsid w:val="008527CC"/>
    <w:rsid w:val="00852857"/>
    <w:rsid w:val="008566F7"/>
    <w:rsid w:val="00857021"/>
    <w:rsid w:val="00857CFD"/>
    <w:rsid w:val="00860089"/>
    <w:rsid w:val="00860708"/>
    <w:rsid w:val="00861ADB"/>
    <w:rsid w:val="0086534C"/>
    <w:rsid w:val="00865B39"/>
    <w:rsid w:val="008666B2"/>
    <w:rsid w:val="00867B72"/>
    <w:rsid w:val="00872094"/>
    <w:rsid w:val="00872D2F"/>
    <w:rsid w:val="00876DD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680"/>
    <w:rsid w:val="008A0313"/>
    <w:rsid w:val="008A06BC"/>
    <w:rsid w:val="008A0989"/>
    <w:rsid w:val="008A14E0"/>
    <w:rsid w:val="008A2B99"/>
    <w:rsid w:val="008A2FDF"/>
    <w:rsid w:val="008A3033"/>
    <w:rsid w:val="008A3403"/>
    <w:rsid w:val="008A392D"/>
    <w:rsid w:val="008A3B73"/>
    <w:rsid w:val="008A4289"/>
    <w:rsid w:val="008A55CE"/>
    <w:rsid w:val="008A627C"/>
    <w:rsid w:val="008A6693"/>
    <w:rsid w:val="008A7623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6C2"/>
    <w:rsid w:val="008C09CC"/>
    <w:rsid w:val="008C1943"/>
    <w:rsid w:val="008C3853"/>
    <w:rsid w:val="008C4D93"/>
    <w:rsid w:val="008C6742"/>
    <w:rsid w:val="008C70D5"/>
    <w:rsid w:val="008C7AD4"/>
    <w:rsid w:val="008D0032"/>
    <w:rsid w:val="008D05B0"/>
    <w:rsid w:val="008D071F"/>
    <w:rsid w:val="008D082E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4B36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BAD"/>
    <w:rsid w:val="00927C1B"/>
    <w:rsid w:val="009320BA"/>
    <w:rsid w:val="00932169"/>
    <w:rsid w:val="00932421"/>
    <w:rsid w:val="00932EF5"/>
    <w:rsid w:val="0093364A"/>
    <w:rsid w:val="0093395C"/>
    <w:rsid w:val="009363C6"/>
    <w:rsid w:val="00936781"/>
    <w:rsid w:val="009402E2"/>
    <w:rsid w:val="009422C2"/>
    <w:rsid w:val="0094260A"/>
    <w:rsid w:val="0094524F"/>
    <w:rsid w:val="00946100"/>
    <w:rsid w:val="0094794E"/>
    <w:rsid w:val="00947ABB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67B"/>
    <w:rsid w:val="00970248"/>
    <w:rsid w:val="0097077D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15B9"/>
    <w:rsid w:val="00982112"/>
    <w:rsid w:val="0098311B"/>
    <w:rsid w:val="00983DEA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769A"/>
    <w:rsid w:val="009A78A5"/>
    <w:rsid w:val="009B070F"/>
    <w:rsid w:val="009B18C6"/>
    <w:rsid w:val="009B1D43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54E9"/>
    <w:rsid w:val="009D0A07"/>
    <w:rsid w:val="009D211D"/>
    <w:rsid w:val="009D441E"/>
    <w:rsid w:val="009D500B"/>
    <w:rsid w:val="009D6918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F08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69DE"/>
    <w:rsid w:val="00A41989"/>
    <w:rsid w:val="00A41C12"/>
    <w:rsid w:val="00A42081"/>
    <w:rsid w:val="00A42104"/>
    <w:rsid w:val="00A42756"/>
    <w:rsid w:val="00A51FE9"/>
    <w:rsid w:val="00A54460"/>
    <w:rsid w:val="00A546CB"/>
    <w:rsid w:val="00A5497D"/>
    <w:rsid w:val="00A5528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801"/>
    <w:rsid w:val="00A908A5"/>
    <w:rsid w:val="00A90DB3"/>
    <w:rsid w:val="00A90FF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C4CA7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E1154"/>
    <w:rsid w:val="00AE286F"/>
    <w:rsid w:val="00AE47FE"/>
    <w:rsid w:val="00AF099D"/>
    <w:rsid w:val="00AF3229"/>
    <w:rsid w:val="00AF67C2"/>
    <w:rsid w:val="00AF69DA"/>
    <w:rsid w:val="00AF73EE"/>
    <w:rsid w:val="00AF74A6"/>
    <w:rsid w:val="00AF777C"/>
    <w:rsid w:val="00B016B7"/>
    <w:rsid w:val="00B02B6E"/>
    <w:rsid w:val="00B0376E"/>
    <w:rsid w:val="00B0485B"/>
    <w:rsid w:val="00B048A9"/>
    <w:rsid w:val="00B1236F"/>
    <w:rsid w:val="00B150FE"/>
    <w:rsid w:val="00B15599"/>
    <w:rsid w:val="00B162DC"/>
    <w:rsid w:val="00B16ABF"/>
    <w:rsid w:val="00B206C5"/>
    <w:rsid w:val="00B20B7A"/>
    <w:rsid w:val="00B21245"/>
    <w:rsid w:val="00B213B9"/>
    <w:rsid w:val="00B21AF1"/>
    <w:rsid w:val="00B229B1"/>
    <w:rsid w:val="00B2415E"/>
    <w:rsid w:val="00B249FB"/>
    <w:rsid w:val="00B24BAC"/>
    <w:rsid w:val="00B274BF"/>
    <w:rsid w:val="00B34727"/>
    <w:rsid w:val="00B34730"/>
    <w:rsid w:val="00B34A6E"/>
    <w:rsid w:val="00B364AA"/>
    <w:rsid w:val="00B40574"/>
    <w:rsid w:val="00B411C1"/>
    <w:rsid w:val="00B41444"/>
    <w:rsid w:val="00B41694"/>
    <w:rsid w:val="00B4226B"/>
    <w:rsid w:val="00B4246B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766"/>
    <w:rsid w:val="00B97E35"/>
    <w:rsid w:val="00BA0533"/>
    <w:rsid w:val="00BA1797"/>
    <w:rsid w:val="00BA2DD1"/>
    <w:rsid w:val="00BA30EC"/>
    <w:rsid w:val="00BA37C8"/>
    <w:rsid w:val="00BA5E9C"/>
    <w:rsid w:val="00BA63AA"/>
    <w:rsid w:val="00BA6A62"/>
    <w:rsid w:val="00BA78FC"/>
    <w:rsid w:val="00BA791A"/>
    <w:rsid w:val="00BB0778"/>
    <w:rsid w:val="00BB1746"/>
    <w:rsid w:val="00BB5B64"/>
    <w:rsid w:val="00BB6662"/>
    <w:rsid w:val="00BB6752"/>
    <w:rsid w:val="00BB6E29"/>
    <w:rsid w:val="00BB6F07"/>
    <w:rsid w:val="00BB7C83"/>
    <w:rsid w:val="00BC0A6D"/>
    <w:rsid w:val="00BC10B6"/>
    <w:rsid w:val="00BC3C15"/>
    <w:rsid w:val="00BC4291"/>
    <w:rsid w:val="00BC455E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5C9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6D6E"/>
    <w:rsid w:val="00C574B5"/>
    <w:rsid w:val="00C668C3"/>
    <w:rsid w:val="00C66E1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2F6B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B2F"/>
    <w:rsid w:val="00CB37D3"/>
    <w:rsid w:val="00CB4F43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C7D3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733"/>
    <w:rsid w:val="00CE7968"/>
    <w:rsid w:val="00CF0083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1BF4"/>
    <w:rsid w:val="00D220CC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6B1B"/>
    <w:rsid w:val="00D4145C"/>
    <w:rsid w:val="00D4159F"/>
    <w:rsid w:val="00D41B8B"/>
    <w:rsid w:val="00D4251B"/>
    <w:rsid w:val="00D425ED"/>
    <w:rsid w:val="00D43A91"/>
    <w:rsid w:val="00D455C5"/>
    <w:rsid w:val="00D46777"/>
    <w:rsid w:val="00D4693D"/>
    <w:rsid w:val="00D46BCF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2011"/>
    <w:rsid w:val="00D62700"/>
    <w:rsid w:val="00D66412"/>
    <w:rsid w:val="00D70DF9"/>
    <w:rsid w:val="00D715DB"/>
    <w:rsid w:val="00D71998"/>
    <w:rsid w:val="00D71C55"/>
    <w:rsid w:val="00D739D2"/>
    <w:rsid w:val="00D753BD"/>
    <w:rsid w:val="00D761DF"/>
    <w:rsid w:val="00D80749"/>
    <w:rsid w:val="00D819E5"/>
    <w:rsid w:val="00D8213E"/>
    <w:rsid w:val="00D83A2C"/>
    <w:rsid w:val="00D911EA"/>
    <w:rsid w:val="00D91C2B"/>
    <w:rsid w:val="00D93DE9"/>
    <w:rsid w:val="00D94667"/>
    <w:rsid w:val="00D968FC"/>
    <w:rsid w:val="00D9690B"/>
    <w:rsid w:val="00DA2970"/>
    <w:rsid w:val="00DA3C2B"/>
    <w:rsid w:val="00DA509D"/>
    <w:rsid w:val="00DA5926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E02BA"/>
    <w:rsid w:val="00DE0696"/>
    <w:rsid w:val="00DE09C6"/>
    <w:rsid w:val="00DE1BB2"/>
    <w:rsid w:val="00DE63D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11D49"/>
    <w:rsid w:val="00E11DF0"/>
    <w:rsid w:val="00E12A65"/>
    <w:rsid w:val="00E14A20"/>
    <w:rsid w:val="00E15197"/>
    <w:rsid w:val="00E1661C"/>
    <w:rsid w:val="00E17014"/>
    <w:rsid w:val="00E172C5"/>
    <w:rsid w:val="00E20ED4"/>
    <w:rsid w:val="00E23CB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35C39"/>
    <w:rsid w:val="00E36F81"/>
    <w:rsid w:val="00E40616"/>
    <w:rsid w:val="00E4116D"/>
    <w:rsid w:val="00E41475"/>
    <w:rsid w:val="00E4397F"/>
    <w:rsid w:val="00E4592C"/>
    <w:rsid w:val="00E459CA"/>
    <w:rsid w:val="00E50F1A"/>
    <w:rsid w:val="00E5101D"/>
    <w:rsid w:val="00E527E7"/>
    <w:rsid w:val="00E52DEE"/>
    <w:rsid w:val="00E534B5"/>
    <w:rsid w:val="00E53DA5"/>
    <w:rsid w:val="00E55D4C"/>
    <w:rsid w:val="00E55D6F"/>
    <w:rsid w:val="00E57426"/>
    <w:rsid w:val="00E57573"/>
    <w:rsid w:val="00E61D9E"/>
    <w:rsid w:val="00E61E8C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D13"/>
    <w:rsid w:val="00E767D2"/>
    <w:rsid w:val="00E76C3D"/>
    <w:rsid w:val="00E77904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44F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6F48"/>
    <w:rsid w:val="00EE7ABB"/>
    <w:rsid w:val="00EF1038"/>
    <w:rsid w:val="00EF19E7"/>
    <w:rsid w:val="00EF3197"/>
    <w:rsid w:val="00EF45BE"/>
    <w:rsid w:val="00EF5E33"/>
    <w:rsid w:val="00EF6989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391"/>
    <w:rsid w:val="00F15E87"/>
    <w:rsid w:val="00F233F4"/>
    <w:rsid w:val="00F246DF"/>
    <w:rsid w:val="00F24F2B"/>
    <w:rsid w:val="00F258D1"/>
    <w:rsid w:val="00F25D72"/>
    <w:rsid w:val="00F2673B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4B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02DD"/>
    <w:rsid w:val="00F82897"/>
    <w:rsid w:val="00F83115"/>
    <w:rsid w:val="00F84037"/>
    <w:rsid w:val="00F85C39"/>
    <w:rsid w:val="00F86EB9"/>
    <w:rsid w:val="00F925D9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4113"/>
    <w:rsid w:val="00FA5FDB"/>
    <w:rsid w:val="00FB061B"/>
    <w:rsid w:val="00FB2D2D"/>
    <w:rsid w:val="00FB3DCB"/>
    <w:rsid w:val="00FB4C11"/>
    <w:rsid w:val="00FB5E0F"/>
    <w:rsid w:val="00FB77CE"/>
    <w:rsid w:val="00FC1BBD"/>
    <w:rsid w:val="00FC4705"/>
    <w:rsid w:val="00FC4871"/>
    <w:rsid w:val="00FC696A"/>
    <w:rsid w:val="00FC6A15"/>
    <w:rsid w:val="00FC6DC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6D511C0"/>
  <w15:chartTrackingRefBased/>
  <w15:docId w15:val="{ADE59D9F-019C-44C9-ADCD-0C6A65C0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  <w:style w:type="paragraph" w:customStyle="1" w:styleId="p1">
    <w:name w:val="p1"/>
    <w:basedOn w:val="a"/>
    <w:rsid w:val="006D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table" w:customStyle="1" w:styleId="14">
    <w:name w:val="Сітка таблиці1"/>
    <w:basedOn w:val="a1"/>
    <w:next w:val="a7"/>
    <w:uiPriority w:val="39"/>
    <w:rsid w:val="00403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39"/>
    <w:rsid w:val="00403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98D-EC32-4717-89DF-D3C97850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1178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7</cp:revision>
  <cp:lastPrinted>2025-05-07T11:19:00Z</cp:lastPrinted>
  <dcterms:created xsi:type="dcterms:W3CDTF">2025-05-06T11:04:00Z</dcterms:created>
  <dcterms:modified xsi:type="dcterms:W3CDTF">2025-05-07T11:19:00Z</dcterms:modified>
</cp:coreProperties>
</file>