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DB" w:rsidRPr="00077314" w:rsidRDefault="00134BC6" w:rsidP="00A00DD6">
      <w:pPr>
        <w:ind w:right="50"/>
        <w:jc w:val="both"/>
        <w:rPr>
          <w:b/>
          <w:bCs/>
          <w:sz w:val="28"/>
          <w:szCs w:val="28"/>
          <w:lang w:val="en-GB"/>
        </w:rPr>
      </w:pPr>
      <w:proofErr w:type="gramStart"/>
      <w:r w:rsidRPr="00077314">
        <w:rPr>
          <w:b/>
          <w:bCs/>
          <w:sz w:val="28"/>
          <w:szCs w:val="28"/>
          <w:lang w:val="en-GB"/>
        </w:rPr>
        <w:t xml:space="preserve">Summary to the Decision </w:t>
      </w:r>
      <w:r w:rsidR="009B62DB" w:rsidRPr="00077314">
        <w:rPr>
          <w:b/>
          <w:bCs/>
          <w:sz w:val="28"/>
          <w:szCs w:val="28"/>
          <w:lang w:val="en-GB"/>
        </w:rPr>
        <w:t>of the Second Senate of the Constitutional Court</w:t>
      </w:r>
      <w:r w:rsidR="00E8293B" w:rsidRPr="00077314">
        <w:rPr>
          <w:b/>
          <w:bCs/>
          <w:sz w:val="28"/>
          <w:szCs w:val="28"/>
          <w:lang w:val="en-GB"/>
        </w:rPr>
        <w:t xml:space="preserve"> of Ukraine</w:t>
      </w:r>
      <w:r w:rsidR="006B0216" w:rsidRPr="00077314">
        <w:rPr>
          <w:b/>
          <w:bCs/>
          <w:sz w:val="28"/>
          <w:szCs w:val="28"/>
          <w:lang w:val="en-GB"/>
        </w:rPr>
        <w:t xml:space="preserve"> No. 3</w:t>
      </w:r>
      <w:r w:rsidR="009B62DB" w:rsidRPr="00077314">
        <w:rPr>
          <w:b/>
          <w:bCs/>
          <w:sz w:val="28"/>
          <w:szCs w:val="28"/>
          <w:lang w:val="en-GB"/>
        </w:rPr>
        <w:t>-r(II)/202</w:t>
      </w:r>
      <w:r w:rsidR="006B0216" w:rsidRPr="00077314">
        <w:rPr>
          <w:b/>
          <w:bCs/>
          <w:sz w:val="28"/>
          <w:szCs w:val="28"/>
          <w:lang w:val="en-GB"/>
        </w:rPr>
        <w:t>5</w:t>
      </w:r>
      <w:r w:rsidR="009B62DB" w:rsidRPr="00077314">
        <w:rPr>
          <w:b/>
          <w:bCs/>
          <w:sz w:val="28"/>
          <w:szCs w:val="28"/>
          <w:lang w:val="en-GB"/>
        </w:rPr>
        <w:t xml:space="preserve"> dated </w:t>
      </w:r>
      <w:r w:rsidR="006B0216" w:rsidRPr="00077314">
        <w:rPr>
          <w:b/>
          <w:bCs/>
          <w:sz w:val="28"/>
          <w:szCs w:val="28"/>
          <w:lang w:val="en-GB"/>
        </w:rPr>
        <w:t>January</w:t>
      </w:r>
      <w:r w:rsidR="009B62DB" w:rsidRPr="00077314">
        <w:rPr>
          <w:b/>
          <w:bCs/>
          <w:sz w:val="28"/>
          <w:szCs w:val="28"/>
          <w:lang w:val="en-GB"/>
        </w:rPr>
        <w:t xml:space="preserve"> </w:t>
      </w:r>
      <w:r w:rsidR="006B0216" w:rsidRPr="00077314">
        <w:rPr>
          <w:b/>
          <w:bCs/>
          <w:sz w:val="28"/>
          <w:szCs w:val="28"/>
          <w:lang w:val="en-GB"/>
        </w:rPr>
        <w:t>21</w:t>
      </w:r>
      <w:r w:rsidR="009B62DB" w:rsidRPr="00077314">
        <w:rPr>
          <w:b/>
          <w:bCs/>
          <w:sz w:val="28"/>
          <w:szCs w:val="28"/>
          <w:lang w:val="en-GB"/>
        </w:rPr>
        <w:t>, 202</w:t>
      </w:r>
      <w:r w:rsidR="006B0216" w:rsidRPr="00077314">
        <w:rPr>
          <w:b/>
          <w:bCs/>
          <w:sz w:val="28"/>
          <w:szCs w:val="28"/>
          <w:lang w:val="en-GB"/>
        </w:rPr>
        <w:t>5</w:t>
      </w:r>
      <w:r w:rsidR="009B62DB" w:rsidRPr="00077314">
        <w:rPr>
          <w:b/>
          <w:bCs/>
          <w:sz w:val="28"/>
          <w:szCs w:val="28"/>
          <w:lang w:val="en-GB"/>
        </w:rPr>
        <w:t xml:space="preserve"> in the case upon the constitutional complaint of </w:t>
      </w:r>
      <w:proofErr w:type="spellStart"/>
      <w:r w:rsidR="007D71E9" w:rsidRPr="00077314">
        <w:rPr>
          <w:b/>
          <w:bCs/>
          <w:sz w:val="28"/>
          <w:szCs w:val="28"/>
          <w:lang w:val="en-GB"/>
        </w:rPr>
        <w:t>Geomax</w:t>
      </w:r>
      <w:proofErr w:type="spellEnd"/>
      <w:r w:rsidR="007D71E9" w:rsidRPr="00077314">
        <w:rPr>
          <w:b/>
          <w:bCs/>
          <w:sz w:val="28"/>
          <w:szCs w:val="28"/>
          <w:lang w:val="en-GB"/>
        </w:rPr>
        <w:t xml:space="preserve">-Resource Limited Liability Company </w:t>
      </w:r>
      <w:r w:rsidR="009B62DB" w:rsidRPr="00077314">
        <w:rPr>
          <w:b/>
          <w:bCs/>
          <w:sz w:val="28"/>
          <w:szCs w:val="28"/>
          <w:lang w:val="en-GB"/>
        </w:rPr>
        <w:t xml:space="preserve">regarding the compliance </w:t>
      </w:r>
      <w:r w:rsidR="007D71E9" w:rsidRPr="00077314">
        <w:rPr>
          <w:b/>
          <w:bCs/>
          <w:sz w:val="28"/>
          <w:szCs w:val="28"/>
          <w:lang w:val="en-GB"/>
        </w:rPr>
        <w:t>of an individual provision of pa</w:t>
      </w:r>
      <w:r w:rsidR="00480398" w:rsidRPr="00077314">
        <w:rPr>
          <w:b/>
          <w:bCs/>
          <w:sz w:val="28"/>
          <w:szCs w:val="28"/>
          <w:lang w:val="en-GB"/>
        </w:rPr>
        <w:t>ssage</w:t>
      </w:r>
      <w:r w:rsidR="007D71E9" w:rsidRPr="00077314">
        <w:rPr>
          <w:b/>
          <w:bCs/>
          <w:sz w:val="28"/>
          <w:szCs w:val="28"/>
          <w:lang w:val="en-GB"/>
        </w:rPr>
        <w:t xml:space="preserve"> 2 of Article</w:t>
      </w:r>
      <w:r w:rsidR="00A50B32">
        <w:rPr>
          <w:b/>
          <w:bCs/>
          <w:sz w:val="28"/>
          <w:szCs w:val="28"/>
          <w:lang w:val="en-GB"/>
        </w:rPr>
        <w:t> </w:t>
      </w:r>
      <w:r w:rsidR="007D71E9" w:rsidRPr="00077314">
        <w:rPr>
          <w:b/>
          <w:bCs/>
          <w:sz w:val="28"/>
          <w:szCs w:val="28"/>
          <w:lang w:val="en-GB"/>
        </w:rPr>
        <w:t xml:space="preserve">14.1.212 of the Tax Code of Ukraine </w:t>
      </w:r>
      <w:r w:rsidR="00975F71" w:rsidRPr="00077314">
        <w:rPr>
          <w:b/>
          <w:bCs/>
          <w:sz w:val="28"/>
          <w:szCs w:val="28"/>
          <w:lang w:val="en-GB"/>
        </w:rPr>
        <w:t>in the wording of</w:t>
      </w:r>
      <w:r w:rsidR="007D71E9" w:rsidRPr="00077314">
        <w:rPr>
          <w:b/>
          <w:bCs/>
          <w:sz w:val="28"/>
          <w:szCs w:val="28"/>
          <w:lang w:val="en-GB"/>
        </w:rPr>
        <w:t xml:space="preserve"> the Law of Ukraine “On Amendments to the Tax Code of Ukraine and Certain Legislative Acts of Ukraine on Tax Reform” No. 71–VIII dated  December 28, 2014 </w:t>
      </w:r>
      <w:r w:rsidR="009B62DB" w:rsidRPr="00077314">
        <w:rPr>
          <w:b/>
          <w:bCs/>
          <w:sz w:val="28"/>
          <w:szCs w:val="28"/>
          <w:lang w:val="en-GB"/>
        </w:rPr>
        <w:t>with the Constitution</w:t>
      </w:r>
      <w:r w:rsidR="005A52BD" w:rsidRPr="00077314">
        <w:rPr>
          <w:b/>
          <w:bCs/>
          <w:sz w:val="28"/>
          <w:szCs w:val="28"/>
          <w:lang w:val="en-GB"/>
        </w:rPr>
        <w:t xml:space="preserve"> of Ukraine</w:t>
      </w:r>
      <w:r w:rsidR="009B62DB" w:rsidRPr="00077314">
        <w:rPr>
          <w:b/>
          <w:bCs/>
          <w:sz w:val="28"/>
          <w:szCs w:val="28"/>
          <w:lang w:val="en-GB"/>
        </w:rPr>
        <w:t xml:space="preserve"> (constitutionality)</w:t>
      </w:r>
      <w:proofErr w:type="gramEnd"/>
    </w:p>
    <w:p w:rsidR="00A00DD6" w:rsidRPr="00077314" w:rsidRDefault="00A00DD6" w:rsidP="00A00DD6">
      <w:pPr>
        <w:ind w:right="50"/>
        <w:jc w:val="both"/>
        <w:rPr>
          <w:b/>
          <w:bCs/>
          <w:sz w:val="28"/>
          <w:szCs w:val="28"/>
          <w:lang w:val="en-GB"/>
        </w:rPr>
      </w:pPr>
    </w:p>
    <w:p w:rsidR="007D71E9" w:rsidRPr="00077314" w:rsidRDefault="00C252E7" w:rsidP="00A00DD6">
      <w:pPr>
        <w:pStyle w:val="HTML"/>
        <w:ind w:firstLine="851"/>
        <w:jc w:val="both"/>
        <w:rPr>
          <w:rFonts w:ascii="Times New Roman" w:hAnsi="Times New Roman" w:cs="Times New Roman"/>
          <w:sz w:val="28"/>
          <w:szCs w:val="28"/>
          <w:lang w:val="en-GB"/>
        </w:rPr>
      </w:pPr>
      <w:proofErr w:type="spellStart"/>
      <w:proofErr w:type="gramStart"/>
      <w:r w:rsidRPr="00077314">
        <w:rPr>
          <w:rFonts w:ascii="Times New Roman" w:hAnsi="Times New Roman" w:cs="Times New Roman"/>
          <w:sz w:val="28"/>
          <w:szCs w:val="28"/>
          <w:lang w:val="en-GB"/>
        </w:rPr>
        <w:t>Geomax</w:t>
      </w:r>
      <w:proofErr w:type="spellEnd"/>
      <w:r w:rsidRPr="00077314">
        <w:rPr>
          <w:rFonts w:ascii="Times New Roman" w:hAnsi="Times New Roman" w:cs="Times New Roman"/>
          <w:sz w:val="28"/>
          <w:szCs w:val="28"/>
          <w:lang w:val="en-GB"/>
        </w:rPr>
        <w:t>-Resource Limited Liability Company (hereinafter, the “Company”) appealed to the Constitutional Court to verify an individual provision of pa</w:t>
      </w:r>
      <w:r w:rsidR="00115101">
        <w:rPr>
          <w:rFonts w:ascii="Times New Roman" w:hAnsi="Times New Roman" w:cs="Times New Roman"/>
          <w:sz w:val="28"/>
          <w:szCs w:val="28"/>
          <w:lang w:val="en-GB"/>
        </w:rPr>
        <w:t>ssage</w:t>
      </w:r>
      <w:r w:rsidRPr="00077314">
        <w:rPr>
          <w:rFonts w:ascii="Times New Roman" w:hAnsi="Times New Roman" w:cs="Times New Roman"/>
          <w:sz w:val="28"/>
          <w:szCs w:val="28"/>
          <w:lang w:val="en-GB"/>
        </w:rPr>
        <w:t xml:space="preserve"> 2 of Article 14.1.212 of the Tax Code of Ukraine (hereinafter, the “Code”) </w:t>
      </w:r>
      <w:r w:rsidR="00975F71" w:rsidRPr="00077314">
        <w:rPr>
          <w:rFonts w:ascii="Times New Roman" w:hAnsi="Times New Roman" w:cs="Times New Roman"/>
          <w:sz w:val="28"/>
          <w:szCs w:val="28"/>
          <w:lang w:val="en-GB"/>
        </w:rPr>
        <w:t>in the wording of</w:t>
      </w:r>
      <w:r w:rsidRPr="00077314">
        <w:rPr>
          <w:rFonts w:ascii="Times New Roman" w:hAnsi="Times New Roman" w:cs="Times New Roman"/>
          <w:sz w:val="28"/>
          <w:szCs w:val="28"/>
          <w:lang w:val="en-GB"/>
        </w:rPr>
        <w:t xml:space="preserve"> the Law of Ukraine “On Amendments to the Tax Code of Ukraine and Certain Legislative Acts of Ukraine on Tax Reform” No. 71–VIII dated  December 28, 2014</w:t>
      </w:r>
      <w:r w:rsidR="00A00DD6" w:rsidRPr="00077314">
        <w:rPr>
          <w:rFonts w:ascii="Times New Roman" w:hAnsi="Times New Roman" w:cs="Times New Roman"/>
          <w:sz w:val="28"/>
          <w:szCs w:val="28"/>
          <w:lang w:val="en-GB"/>
        </w:rPr>
        <w:t xml:space="preserve"> (hereinafter,</w:t>
      </w:r>
      <w:r w:rsidRPr="00077314">
        <w:rPr>
          <w:rFonts w:ascii="Times New Roman" w:hAnsi="Times New Roman" w:cs="Times New Roman"/>
          <w:sz w:val="28"/>
          <w:szCs w:val="28"/>
          <w:lang w:val="en-GB"/>
        </w:rPr>
        <w:t xml:space="preserve"> </w:t>
      </w:r>
      <w:r w:rsidR="00A00DD6" w:rsidRPr="00077314">
        <w:rPr>
          <w:rFonts w:ascii="Times New Roman" w:hAnsi="Times New Roman" w:cs="Times New Roman"/>
          <w:sz w:val="28"/>
          <w:szCs w:val="28"/>
          <w:lang w:val="en-GB"/>
        </w:rPr>
        <w:t>“</w:t>
      </w:r>
      <w:r w:rsidRPr="00077314">
        <w:rPr>
          <w:rFonts w:ascii="Times New Roman" w:hAnsi="Times New Roman" w:cs="Times New Roman"/>
          <w:sz w:val="28"/>
          <w:szCs w:val="28"/>
          <w:lang w:val="en-GB"/>
        </w:rPr>
        <w:t>Law No. 71</w:t>
      </w:r>
      <w:r w:rsidR="00A00DD6" w:rsidRPr="00077314">
        <w:rPr>
          <w:rFonts w:ascii="Times New Roman" w:hAnsi="Times New Roman" w:cs="Times New Roman"/>
          <w:sz w:val="28"/>
          <w:szCs w:val="28"/>
          <w:lang w:val="en-GB"/>
        </w:rPr>
        <w:t>”</w:t>
      </w:r>
      <w:r w:rsidRPr="00077314">
        <w:rPr>
          <w:rFonts w:ascii="Times New Roman" w:hAnsi="Times New Roman" w:cs="Times New Roman"/>
          <w:sz w:val="28"/>
          <w:szCs w:val="28"/>
          <w:lang w:val="en-GB"/>
        </w:rPr>
        <w:t>), namely: “goods specified in Article 2</w:t>
      </w:r>
      <w:r w:rsidR="00A00DD6" w:rsidRPr="00077314">
        <w:rPr>
          <w:rFonts w:ascii="Times New Roman" w:hAnsi="Times New Roman" w:cs="Times New Roman"/>
          <w:sz w:val="28"/>
          <w:szCs w:val="28"/>
          <w:lang w:val="en-GB"/>
        </w:rPr>
        <w:t>15</w:t>
      </w:r>
      <w:r w:rsidR="00BE43DD">
        <w:rPr>
          <w:rFonts w:ascii="Times New Roman" w:hAnsi="Times New Roman" w:cs="Times New Roman"/>
          <w:sz w:val="28"/>
          <w:szCs w:val="28"/>
          <w:lang w:val="en-GB"/>
        </w:rPr>
        <w:t>.3.4</w:t>
      </w:r>
      <w:r w:rsidR="00A00DD6" w:rsidRPr="00077314">
        <w:rPr>
          <w:rFonts w:ascii="Times New Roman" w:hAnsi="Times New Roman" w:cs="Times New Roman"/>
          <w:sz w:val="28"/>
          <w:szCs w:val="28"/>
          <w:lang w:val="en-GB"/>
        </w:rPr>
        <w:t xml:space="preserve"> of this Code” (hereinafter , </w:t>
      </w:r>
      <w:r w:rsidRPr="00077314">
        <w:rPr>
          <w:rFonts w:ascii="Times New Roman" w:hAnsi="Times New Roman" w:cs="Times New Roman"/>
          <w:sz w:val="28"/>
          <w:szCs w:val="28"/>
          <w:lang w:val="en-GB"/>
        </w:rPr>
        <w:t xml:space="preserve">the </w:t>
      </w:r>
      <w:r w:rsidR="00A00DD6" w:rsidRPr="00077314">
        <w:rPr>
          <w:rFonts w:ascii="Times New Roman" w:hAnsi="Times New Roman" w:cs="Times New Roman"/>
          <w:sz w:val="28"/>
          <w:szCs w:val="28"/>
          <w:lang w:val="en-GB"/>
        </w:rPr>
        <w:t>impugned</w:t>
      </w:r>
      <w:r w:rsidRPr="00077314">
        <w:rPr>
          <w:rFonts w:ascii="Times New Roman" w:hAnsi="Times New Roman" w:cs="Times New Roman"/>
          <w:sz w:val="28"/>
          <w:szCs w:val="28"/>
          <w:lang w:val="en-GB"/>
        </w:rPr>
        <w:t xml:space="preserve"> provision of the Code </w:t>
      </w:r>
      <w:r w:rsidR="00975F71" w:rsidRPr="00077314">
        <w:rPr>
          <w:rFonts w:ascii="Times New Roman" w:hAnsi="Times New Roman" w:cs="Times New Roman"/>
          <w:sz w:val="28"/>
          <w:szCs w:val="28"/>
          <w:lang w:val="en-GB"/>
        </w:rPr>
        <w:t xml:space="preserve">in the wording of the </w:t>
      </w:r>
      <w:r w:rsidRPr="00077314">
        <w:rPr>
          <w:rFonts w:ascii="Times New Roman" w:hAnsi="Times New Roman" w:cs="Times New Roman"/>
          <w:sz w:val="28"/>
          <w:szCs w:val="28"/>
          <w:lang w:val="en-GB"/>
        </w:rPr>
        <w:t>Law No. 71), for compliance with Articles 6.2, 8.1, 8.2, 19, 41.1, 41.4, 42.1, 42.3, 57.1, 67.1 of the Constitution.</w:t>
      </w:r>
      <w:proofErr w:type="gramEnd"/>
    </w:p>
    <w:p w:rsidR="00480398" w:rsidRPr="00077314" w:rsidRDefault="00480398" w:rsidP="007D71E9">
      <w:pPr>
        <w:pStyle w:val="HTML"/>
        <w:ind w:firstLine="851"/>
        <w:jc w:val="both"/>
        <w:rPr>
          <w:rFonts w:ascii="Times New Roman" w:hAnsi="Times New Roman" w:cs="Times New Roman"/>
          <w:sz w:val="28"/>
          <w:szCs w:val="28"/>
          <w:lang w:val="en-GB"/>
        </w:rPr>
      </w:pPr>
      <w:proofErr w:type="gramStart"/>
      <w:r w:rsidRPr="00077314">
        <w:rPr>
          <w:rFonts w:ascii="Times New Roman" w:hAnsi="Times New Roman" w:cs="Times New Roman"/>
          <w:sz w:val="28"/>
          <w:szCs w:val="28"/>
          <w:lang w:val="en-GB"/>
        </w:rPr>
        <w:t xml:space="preserve">In accordance with passage 2 of Article 14.1.212 of the Code </w:t>
      </w:r>
      <w:r w:rsidR="00975F71" w:rsidRPr="00077314">
        <w:rPr>
          <w:rFonts w:ascii="Times New Roman" w:hAnsi="Times New Roman" w:cs="Times New Roman"/>
          <w:sz w:val="28"/>
          <w:szCs w:val="28"/>
          <w:lang w:val="en-GB"/>
        </w:rPr>
        <w:t xml:space="preserve">in the wording of </w:t>
      </w:r>
      <w:r w:rsidRPr="00077314">
        <w:rPr>
          <w:rFonts w:ascii="Times New Roman" w:hAnsi="Times New Roman" w:cs="Times New Roman"/>
          <w:sz w:val="28"/>
          <w:szCs w:val="28"/>
          <w:lang w:val="en-GB"/>
        </w:rPr>
        <w:t xml:space="preserve">Law No. 71, “the realisation by </w:t>
      </w:r>
      <w:r w:rsidR="00663251" w:rsidRPr="00077314">
        <w:rPr>
          <w:rFonts w:ascii="Times New Roman" w:hAnsi="Times New Roman" w:cs="Times New Roman"/>
          <w:sz w:val="28"/>
          <w:szCs w:val="28"/>
          <w:lang w:val="en-GB"/>
        </w:rPr>
        <w:t>business entities</w:t>
      </w:r>
      <w:r w:rsidRPr="00077314">
        <w:rPr>
          <w:rFonts w:ascii="Times New Roman" w:hAnsi="Times New Roman" w:cs="Times New Roman"/>
          <w:sz w:val="28"/>
          <w:szCs w:val="28"/>
          <w:lang w:val="en-GB"/>
        </w:rPr>
        <w:t xml:space="preserve"> of excisable goods - sale of beer, alcoholic beverages, tobacco products, tobacco and industrial tobacco substitutes, goods specified in </w:t>
      </w:r>
      <w:r w:rsidR="000E627A" w:rsidRPr="00077314">
        <w:rPr>
          <w:rFonts w:ascii="Times New Roman" w:hAnsi="Times New Roman" w:cs="Times New Roman"/>
          <w:sz w:val="28"/>
          <w:szCs w:val="28"/>
          <w:lang w:val="en-GB"/>
        </w:rPr>
        <w:t>Article 215</w:t>
      </w:r>
      <w:r w:rsidR="000E627A">
        <w:rPr>
          <w:rFonts w:ascii="Times New Roman" w:hAnsi="Times New Roman" w:cs="Times New Roman"/>
          <w:sz w:val="28"/>
          <w:szCs w:val="28"/>
          <w:lang w:val="en-GB"/>
        </w:rPr>
        <w:t>.3.4</w:t>
      </w:r>
      <w:r w:rsidR="000E627A" w:rsidRPr="00077314">
        <w:rPr>
          <w:rFonts w:ascii="Times New Roman" w:hAnsi="Times New Roman" w:cs="Times New Roman"/>
          <w:sz w:val="28"/>
          <w:szCs w:val="28"/>
          <w:lang w:val="en-GB"/>
        </w:rPr>
        <w:t xml:space="preserve"> </w:t>
      </w:r>
      <w:r w:rsidRPr="00077314">
        <w:rPr>
          <w:rFonts w:ascii="Times New Roman" w:hAnsi="Times New Roman" w:cs="Times New Roman"/>
          <w:sz w:val="28"/>
          <w:szCs w:val="28"/>
          <w:lang w:val="en-GB"/>
        </w:rPr>
        <w:t xml:space="preserve">of this Code, directly to citizens and other end consumers for their </w:t>
      </w:r>
      <w:r w:rsidR="00B85EFE">
        <w:rPr>
          <w:rFonts w:ascii="Times New Roman" w:hAnsi="Times New Roman" w:cs="Times New Roman"/>
          <w:sz w:val="28"/>
          <w:szCs w:val="28"/>
          <w:lang w:val="en-GB"/>
        </w:rPr>
        <w:t>private</w:t>
      </w:r>
      <w:r w:rsidRPr="00077314">
        <w:rPr>
          <w:rFonts w:ascii="Times New Roman" w:hAnsi="Times New Roman" w:cs="Times New Roman"/>
          <w:sz w:val="28"/>
          <w:szCs w:val="28"/>
          <w:lang w:val="en-GB"/>
        </w:rPr>
        <w:t xml:space="preserve"> non-commercial use regardless of the form of payment, including for bottling in restaurants, cafes, bars, and other catering business entities.”</w:t>
      </w:r>
      <w:proofErr w:type="gramEnd"/>
    </w:p>
    <w:p w:rsidR="00400B47" w:rsidRPr="00077314" w:rsidRDefault="00400B47" w:rsidP="007D71E9">
      <w:pPr>
        <w:pStyle w:val="HTML"/>
        <w:ind w:firstLine="851"/>
        <w:jc w:val="both"/>
        <w:rPr>
          <w:rFonts w:ascii="Times New Roman" w:hAnsi="Times New Roman" w:cs="Times New Roman"/>
          <w:sz w:val="28"/>
          <w:szCs w:val="28"/>
          <w:lang w:val="en-GB"/>
        </w:rPr>
      </w:pPr>
      <w:proofErr w:type="gramStart"/>
      <w:r w:rsidRPr="00077314">
        <w:rPr>
          <w:rFonts w:ascii="Times New Roman" w:hAnsi="Times New Roman" w:cs="Times New Roman"/>
          <w:sz w:val="28"/>
          <w:szCs w:val="28"/>
          <w:lang w:val="en-GB"/>
        </w:rPr>
        <w:t>Paragraph 4.6 of Section I of the Law “On Amendments to the Tax Code of Ukraine and Certain Legislative Acts of Ukraine on Ensuring the Balance of Budget Revenues in 2016” No. 909–VIII dated December 24, 2015 (hereinafter, “Law No.</w:t>
      </w:r>
      <w:r w:rsidR="000E05FB">
        <w:rPr>
          <w:rFonts w:ascii="Times New Roman" w:hAnsi="Times New Roman" w:cs="Times New Roman"/>
          <w:sz w:val="28"/>
          <w:szCs w:val="28"/>
          <w:lang w:val="en-GB"/>
        </w:rPr>
        <w:t> </w:t>
      </w:r>
      <w:r w:rsidRPr="00077314">
        <w:rPr>
          <w:rFonts w:ascii="Times New Roman" w:hAnsi="Times New Roman" w:cs="Times New Roman"/>
          <w:sz w:val="28"/>
          <w:szCs w:val="28"/>
          <w:lang w:val="en-GB"/>
        </w:rPr>
        <w:t>909”) (entered into force on January 1, 2016) a</w:t>
      </w:r>
      <w:r w:rsidR="000E05FB">
        <w:rPr>
          <w:rFonts w:ascii="Times New Roman" w:hAnsi="Times New Roman" w:cs="Times New Roman"/>
          <w:sz w:val="28"/>
          <w:szCs w:val="28"/>
          <w:lang w:val="en-GB"/>
        </w:rPr>
        <w:t>mended the passage 2 of Article </w:t>
      </w:r>
      <w:r w:rsidRPr="00077314">
        <w:rPr>
          <w:rFonts w:ascii="Times New Roman" w:hAnsi="Times New Roman" w:cs="Times New Roman"/>
          <w:sz w:val="28"/>
          <w:szCs w:val="28"/>
          <w:lang w:val="en-GB"/>
        </w:rPr>
        <w:t xml:space="preserve">14.1.212  of the Code </w:t>
      </w:r>
      <w:r w:rsidR="00975F71" w:rsidRPr="00077314">
        <w:rPr>
          <w:rFonts w:ascii="Times New Roman" w:hAnsi="Times New Roman" w:cs="Times New Roman"/>
          <w:sz w:val="28"/>
          <w:szCs w:val="28"/>
          <w:lang w:val="en-GB"/>
        </w:rPr>
        <w:t xml:space="preserve">in the wording of </w:t>
      </w:r>
      <w:r w:rsidRPr="00077314">
        <w:rPr>
          <w:rFonts w:ascii="Times New Roman" w:hAnsi="Times New Roman" w:cs="Times New Roman"/>
          <w:sz w:val="28"/>
          <w:szCs w:val="28"/>
          <w:lang w:val="en-GB"/>
        </w:rPr>
        <w:t>Law No.</w:t>
      </w:r>
      <w:r w:rsidR="000E05FB">
        <w:rPr>
          <w:rFonts w:ascii="Times New Roman" w:hAnsi="Times New Roman" w:cs="Times New Roman"/>
          <w:sz w:val="28"/>
          <w:szCs w:val="28"/>
          <w:lang w:val="en-GB"/>
        </w:rPr>
        <w:t> </w:t>
      </w:r>
      <w:r w:rsidRPr="00077314">
        <w:rPr>
          <w:rFonts w:ascii="Times New Roman" w:hAnsi="Times New Roman" w:cs="Times New Roman"/>
          <w:sz w:val="28"/>
          <w:szCs w:val="28"/>
          <w:lang w:val="en-GB"/>
        </w:rPr>
        <w:t>71.</w:t>
      </w:r>
      <w:proofErr w:type="gramEnd"/>
    </w:p>
    <w:p w:rsidR="00400B47" w:rsidRPr="00077314" w:rsidRDefault="00400B47"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On January 1, 2017, the Law “On Amendments to the Tax Code of Ukraine and Certain Legislative Acts of Ukraine on Ensuring the Balance of Budget Revenues in 2017” No. 1791–VIII dated December 20, 2016 (hereinafter, “Law No.</w:t>
      </w:r>
      <w:r w:rsidR="0069290C">
        <w:rPr>
          <w:rFonts w:ascii="Times New Roman" w:hAnsi="Times New Roman" w:cs="Times New Roman"/>
          <w:sz w:val="28"/>
          <w:szCs w:val="28"/>
          <w:lang w:val="en-GB"/>
        </w:rPr>
        <w:t> </w:t>
      </w:r>
      <w:r w:rsidRPr="00077314">
        <w:rPr>
          <w:rFonts w:ascii="Times New Roman" w:hAnsi="Times New Roman" w:cs="Times New Roman"/>
          <w:sz w:val="28"/>
          <w:szCs w:val="28"/>
          <w:lang w:val="en-GB"/>
        </w:rPr>
        <w:t>1791”) entered into force.</w:t>
      </w:r>
    </w:p>
    <w:p w:rsidR="00975F71" w:rsidRPr="00077314" w:rsidRDefault="00975F71"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The legislator improved the relevant normative regulation</w:t>
      </w:r>
      <w:r w:rsidR="00941B93">
        <w:rPr>
          <w:rFonts w:ascii="Times New Roman" w:hAnsi="Times New Roman" w:cs="Times New Roman"/>
          <w:sz w:val="28"/>
          <w:szCs w:val="28"/>
          <w:lang w:val="en-GB"/>
        </w:rPr>
        <w:t xml:space="preserve"> by Law No. 909, and by Law No. </w:t>
      </w:r>
      <w:r w:rsidRPr="00077314">
        <w:rPr>
          <w:rFonts w:ascii="Times New Roman" w:hAnsi="Times New Roman" w:cs="Times New Roman"/>
          <w:sz w:val="28"/>
          <w:szCs w:val="28"/>
          <w:lang w:val="en-GB"/>
        </w:rPr>
        <w:t>1791 excluded the impugned provision of the Code in the wording of Law No.</w:t>
      </w:r>
      <w:r w:rsidR="00941B93">
        <w:rPr>
          <w:rFonts w:ascii="Times New Roman" w:hAnsi="Times New Roman" w:cs="Times New Roman"/>
          <w:sz w:val="28"/>
          <w:szCs w:val="28"/>
          <w:lang w:val="en-GB"/>
        </w:rPr>
        <w:t> </w:t>
      </w:r>
      <w:r w:rsidRPr="00077314">
        <w:rPr>
          <w:rFonts w:ascii="Times New Roman" w:hAnsi="Times New Roman" w:cs="Times New Roman"/>
          <w:sz w:val="28"/>
          <w:szCs w:val="28"/>
          <w:lang w:val="en-GB"/>
        </w:rPr>
        <w:t>71, and the impugned provision of the Code in the wording of Law No.</w:t>
      </w:r>
      <w:r w:rsidR="00941B93">
        <w:rPr>
          <w:rFonts w:ascii="Times New Roman" w:hAnsi="Times New Roman" w:cs="Times New Roman"/>
          <w:sz w:val="28"/>
          <w:szCs w:val="28"/>
          <w:lang w:val="en-GB"/>
        </w:rPr>
        <w:t> </w:t>
      </w:r>
      <w:r w:rsidRPr="00077314">
        <w:rPr>
          <w:rFonts w:ascii="Times New Roman" w:hAnsi="Times New Roman" w:cs="Times New Roman"/>
          <w:sz w:val="28"/>
          <w:szCs w:val="28"/>
          <w:lang w:val="en-GB"/>
        </w:rPr>
        <w:t xml:space="preserve">71 continues to </w:t>
      </w:r>
      <w:r w:rsidR="00941B93">
        <w:rPr>
          <w:rFonts w:ascii="Times New Roman" w:hAnsi="Times New Roman" w:cs="Times New Roman"/>
          <w:sz w:val="28"/>
          <w:szCs w:val="28"/>
          <w:lang w:val="en-GB"/>
        </w:rPr>
        <w:t xml:space="preserve">be applied </w:t>
      </w:r>
      <w:r w:rsidRPr="00077314">
        <w:rPr>
          <w:rFonts w:ascii="Times New Roman" w:hAnsi="Times New Roman" w:cs="Times New Roman"/>
          <w:sz w:val="28"/>
          <w:szCs w:val="28"/>
          <w:lang w:val="en-GB"/>
        </w:rPr>
        <w:t xml:space="preserve">to legal relations that arose during the period of its validity. </w:t>
      </w:r>
    </w:p>
    <w:p w:rsidR="00975F71" w:rsidRPr="00077314" w:rsidRDefault="00975F71"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The Constitutional Court is considering whether the impugned provision of the Code in the wording of Law No. 71, which has ceased to be effective but continues to </w:t>
      </w:r>
      <w:proofErr w:type="gramStart"/>
      <w:r w:rsidR="004E3AD3">
        <w:rPr>
          <w:rFonts w:ascii="Times New Roman" w:hAnsi="Times New Roman" w:cs="Times New Roman"/>
          <w:sz w:val="28"/>
          <w:szCs w:val="28"/>
          <w:lang w:val="en-GB"/>
        </w:rPr>
        <w:t>be applied</w:t>
      </w:r>
      <w:proofErr w:type="gramEnd"/>
      <w:r w:rsidRPr="00077314">
        <w:rPr>
          <w:rFonts w:ascii="Times New Roman" w:hAnsi="Times New Roman" w:cs="Times New Roman"/>
          <w:sz w:val="28"/>
          <w:szCs w:val="28"/>
          <w:lang w:val="en-GB"/>
        </w:rPr>
        <w:t xml:space="preserve"> to legal relations arising during its validity, is </w:t>
      </w:r>
      <w:r w:rsidR="004E3AD3">
        <w:rPr>
          <w:rFonts w:ascii="Times New Roman" w:hAnsi="Times New Roman" w:cs="Times New Roman"/>
          <w:sz w:val="28"/>
          <w:szCs w:val="28"/>
          <w:lang w:val="en-GB"/>
        </w:rPr>
        <w:t>compliant with the Constitution</w:t>
      </w:r>
      <w:r w:rsidRPr="00077314">
        <w:rPr>
          <w:rFonts w:ascii="Times New Roman" w:hAnsi="Times New Roman" w:cs="Times New Roman"/>
          <w:sz w:val="28"/>
          <w:szCs w:val="28"/>
          <w:lang w:val="en-GB"/>
        </w:rPr>
        <w:t>.</w:t>
      </w:r>
    </w:p>
    <w:p w:rsidR="00975F71" w:rsidRPr="00077314" w:rsidRDefault="00975F71"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In the context of the rule of law principle, it is important to establish a reasonable </w:t>
      </w:r>
      <w:proofErr w:type="gramStart"/>
      <w:r w:rsidRPr="00077314">
        <w:rPr>
          <w:rFonts w:ascii="Times New Roman" w:hAnsi="Times New Roman" w:cs="Times New Roman"/>
          <w:sz w:val="28"/>
          <w:szCs w:val="28"/>
          <w:lang w:val="en-GB"/>
        </w:rPr>
        <w:t>time period</w:t>
      </w:r>
      <w:proofErr w:type="gramEnd"/>
      <w:r w:rsidRPr="00077314">
        <w:rPr>
          <w:rFonts w:ascii="Times New Roman" w:hAnsi="Times New Roman" w:cs="Times New Roman"/>
          <w:sz w:val="28"/>
          <w:szCs w:val="28"/>
          <w:lang w:val="en-GB"/>
        </w:rPr>
        <w:t xml:space="preserve"> between the official publication of a law and its entry into force when amending legislation.</w:t>
      </w:r>
    </w:p>
    <w:p w:rsidR="00975F71" w:rsidRPr="00077314" w:rsidRDefault="00975F71" w:rsidP="007D71E9">
      <w:pPr>
        <w:pStyle w:val="HTML"/>
        <w:ind w:firstLine="851"/>
        <w:jc w:val="both"/>
        <w:rPr>
          <w:rFonts w:ascii="Times New Roman" w:hAnsi="Times New Roman" w:cs="Times New Roman"/>
          <w:sz w:val="28"/>
          <w:szCs w:val="28"/>
          <w:lang w:val="en-GB"/>
        </w:rPr>
      </w:pPr>
      <w:proofErr w:type="gramStart"/>
      <w:r w:rsidRPr="00077314">
        <w:rPr>
          <w:rFonts w:ascii="Times New Roman" w:hAnsi="Times New Roman" w:cs="Times New Roman"/>
          <w:sz w:val="28"/>
          <w:szCs w:val="28"/>
          <w:lang w:val="en-GB"/>
        </w:rPr>
        <w:t xml:space="preserve">If the legislative regulation introduces new requirements that will worsen the legal position of a certain group of persons, the legislator should provide for a sufficient </w:t>
      </w:r>
      <w:r w:rsidRPr="00077314">
        <w:rPr>
          <w:rFonts w:ascii="Times New Roman" w:hAnsi="Times New Roman" w:cs="Times New Roman"/>
          <w:sz w:val="28"/>
          <w:szCs w:val="28"/>
          <w:lang w:val="en-GB"/>
        </w:rPr>
        <w:lastRenderedPageBreak/>
        <w:t>transition period (reasonable time period) from the moment the law is published until it enters into force (starts to be applied), during which the interested persons would have the opportunity to prepare for compliance with the requirements established by the new legislative regulation.</w:t>
      </w:r>
      <w:proofErr w:type="gramEnd"/>
    </w:p>
    <w:p w:rsidR="00663251" w:rsidRPr="00077314" w:rsidRDefault="00663251"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Considering the impugned provision of the Code in the wording of Law No. 71 in terms of the principle of stability of the tax legislation of Ukraine, the Constitutional Court emphasises that Law No. 71 </w:t>
      </w:r>
      <w:proofErr w:type="gramStart"/>
      <w:r w:rsidRPr="00077314">
        <w:rPr>
          <w:rFonts w:ascii="Times New Roman" w:hAnsi="Times New Roman" w:cs="Times New Roman"/>
          <w:sz w:val="28"/>
          <w:szCs w:val="28"/>
          <w:lang w:val="en-GB"/>
        </w:rPr>
        <w:t>was adopted on December 28, 2014 and published on December 31, 2014 in the newspaper “</w:t>
      </w:r>
      <w:proofErr w:type="spellStart"/>
      <w:r w:rsidRPr="00077314">
        <w:rPr>
          <w:rFonts w:ascii="Times New Roman" w:hAnsi="Times New Roman" w:cs="Times New Roman"/>
          <w:sz w:val="28"/>
          <w:szCs w:val="28"/>
          <w:lang w:val="en-GB"/>
        </w:rPr>
        <w:t>Holos</w:t>
      </w:r>
      <w:proofErr w:type="spellEnd"/>
      <w:r w:rsidRPr="00077314">
        <w:rPr>
          <w:rFonts w:ascii="Times New Roman" w:hAnsi="Times New Roman" w:cs="Times New Roman"/>
          <w:sz w:val="28"/>
          <w:szCs w:val="28"/>
          <w:lang w:val="en-GB"/>
        </w:rPr>
        <w:t xml:space="preserve"> </w:t>
      </w:r>
      <w:proofErr w:type="spellStart"/>
      <w:r w:rsidRPr="00077314">
        <w:rPr>
          <w:rFonts w:ascii="Times New Roman" w:hAnsi="Times New Roman" w:cs="Times New Roman"/>
          <w:sz w:val="28"/>
          <w:szCs w:val="28"/>
          <w:lang w:val="en-GB"/>
        </w:rPr>
        <w:t>Ukrainy</w:t>
      </w:r>
      <w:proofErr w:type="spellEnd"/>
      <w:r w:rsidRPr="00077314">
        <w:rPr>
          <w:rFonts w:ascii="Times New Roman" w:hAnsi="Times New Roman" w:cs="Times New Roman"/>
          <w:sz w:val="28"/>
          <w:szCs w:val="28"/>
          <w:lang w:val="en-GB"/>
        </w:rPr>
        <w:t>”</w:t>
      </w:r>
      <w:proofErr w:type="gramEnd"/>
      <w:r w:rsidRPr="00077314">
        <w:rPr>
          <w:rFonts w:ascii="Times New Roman" w:hAnsi="Times New Roman" w:cs="Times New Roman"/>
          <w:sz w:val="28"/>
          <w:szCs w:val="28"/>
          <w:lang w:val="en-GB"/>
        </w:rPr>
        <w:t>. According to paragraph 1 of Section II “Final Provisions” of Law No. 71, Law No. 71 entered into force on January 1, 2015, i.e. on the day following the day of its publication. Accordingly, the impugned provision of the Code in the wording of Law No. 71 entered into force and produced legal consequences the day after the day of publication of the legislative act, namely with the beginning of the budget period – January 1, 2015 (in fact, immediately).</w:t>
      </w:r>
    </w:p>
    <w:p w:rsidR="00663251" w:rsidRPr="00077314" w:rsidRDefault="00663251"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The parties to legal relations, including the Company, could not have enough time to adapt to the changes in the system of legal relations caused by the adoption of Law No. 71, which led to a violation of their legitimate expectations and non-compliance with the principle of legal certainty. By adopting Law No. 71, the </w:t>
      </w:r>
      <w:proofErr w:type="spellStart"/>
      <w:r w:rsidRPr="00077314">
        <w:rPr>
          <w:rFonts w:ascii="Times New Roman" w:hAnsi="Times New Roman" w:cs="Times New Roman"/>
          <w:sz w:val="28"/>
          <w:szCs w:val="28"/>
          <w:lang w:val="en-GB"/>
        </w:rPr>
        <w:t>Verkhovna</w:t>
      </w:r>
      <w:proofErr w:type="spellEnd"/>
      <w:r w:rsidRPr="00077314">
        <w:rPr>
          <w:rFonts w:ascii="Times New Roman" w:hAnsi="Times New Roman" w:cs="Times New Roman"/>
          <w:sz w:val="28"/>
          <w:szCs w:val="28"/>
          <w:lang w:val="en-GB"/>
        </w:rPr>
        <w:t xml:space="preserve"> Rada failed to establish a sufficient transition period (reasonable </w:t>
      </w:r>
      <w:proofErr w:type="gramStart"/>
      <w:r w:rsidRPr="00077314">
        <w:rPr>
          <w:rFonts w:ascii="Times New Roman" w:hAnsi="Times New Roman" w:cs="Times New Roman"/>
          <w:sz w:val="28"/>
          <w:szCs w:val="28"/>
          <w:lang w:val="en-GB"/>
        </w:rPr>
        <w:t>time period</w:t>
      </w:r>
      <w:proofErr w:type="gramEnd"/>
      <w:r w:rsidRPr="00077314">
        <w:rPr>
          <w:rFonts w:ascii="Times New Roman" w:hAnsi="Times New Roman" w:cs="Times New Roman"/>
          <w:sz w:val="28"/>
          <w:szCs w:val="28"/>
          <w:lang w:val="en-GB"/>
        </w:rPr>
        <w:t>) related to the entry into force of the impugned provision of the Code in the wording of Law No. 71, thus depriving taxpayers of the possibility of any tax planning.</w:t>
      </w:r>
    </w:p>
    <w:p w:rsidR="00663251" w:rsidRPr="00077314" w:rsidRDefault="00663251" w:rsidP="007D71E9">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Such entry into force of the law, in fact, inevitably leads to bringing business entities to legal liability for failure to </w:t>
      </w:r>
      <w:proofErr w:type="spellStart"/>
      <w:r w:rsidRPr="00077314">
        <w:rPr>
          <w:rFonts w:ascii="Times New Roman" w:hAnsi="Times New Roman" w:cs="Times New Roman"/>
          <w:sz w:val="28"/>
          <w:szCs w:val="28"/>
          <w:lang w:val="en-GB"/>
        </w:rPr>
        <w:t>fulfill</w:t>
      </w:r>
      <w:proofErr w:type="spellEnd"/>
      <w:r w:rsidRPr="00077314">
        <w:rPr>
          <w:rFonts w:ascii="Times New Roman" w:hAnsi="Times New Roman" w:cs="Times New Roman"/>
          <w:sz w:val="28"/>
          <w:szCs w:val="28"/>
          <w:lang w:val="en-GB"/>
        </w:rPr>
        <w:t xml:space="preserve"> this new tax obligation.</w:t>
      </w:r>
    </w:p>
    <w:p w:rsidR="00663251" w:rsidRPr="00077314" w:rsidRDefault="00663251" w:rsidP="007D71E9">
      <w:pPr>
        <w:pStyle w:val="HTML"/>
        <w:ind w:firstLine="851"/>
        <w:jc w:val="both"/>
        <w:rPr>
          <w:rFonts w:ascii="Times New Roman" w:hAnsi="Times New Roman" w:cs="Times New Roman"/>
          <w:sz w:val="28"/>
          <w:szCs w:val="28"/>
          <w:lang w:val="en-GB"/>
        </w:rPr>
      </w:pPr>
      <w:proofErr w:type="gramStart"/>
      <w:r w:rsidRPr="00077314">
        <w:rPr>
          <w:rFonts w:ascii="Times New Roman" w:hAnsi="Times New Roman" w:cs="Times New Roman"/>
          <w:sz w:val="28"/>
          <w:szCs w:val="28"/>
          <w:lang w:val="en-GB"/>
        </w:rPr>
        <w:t xml:space="preserve">The Constitutional Court finds that the transition period between the publication of Law No. 71 and the entry into force of Law No. 71 (less than one day) was insufficient for the relevant entities (in particular, the Company) to adapt to legislative novelties and adjust their actions, to </w:t>
      </w:r>
      <w:r w:rsidR="00771436">
        <w:rPr>
          <w:rFonts w:ascii="Times New Roman" w:hAnsi="Times New Roman" w:cs="Times New Roman"/>
          <w:sz w:val="28"/>
          <w:szCs w:val="28"/>
          <w:lang w:val="en-GB"/>
        </w:rPr>
        <w:t>a</w:t>
      </w:r>
      <w:r w:rsidR="00771436" w:rsidRPr="00077314">
        <w:rPr>
          <w:rFonts w:ascii="Times New Roman" w:hAnsi="Times New Roman" w:cs="Times New Roman"/>
          <w:sz w:val="28"/>
          <w:szCs w:val="28"/>
          <w:lang w:val="en-GB"/>
        </w:rPr>
        <w:t>mend</w:t>
      </w:r>
      <w:r w:rsidRPr="00077314">
        <w:rPr>
          <w:rFonts w:ascii="Times New Roman" w:hAnsi="Times New Roman" w:cs="Times New Roman"/>
          <w:sz w:val="28"/>
          <w:szCs w:val="28"/>
          <w:lang w:val="en-GB"/>
        </w:rPr>
        <w:t xml:space="preserve"> the rules of financial and tax accounting of their activities in a timely manner.</w:t>
      </w:r>
      <w:proofErr w:type="gramEnd"/>
      <w:r w:rsidRPr="00077314">
        <w:rPr>
          <w:rFonts w:ascii="Times New Roman" w:hAnsi="Times New Roman" w:cs="Times New Roman"/>
          <w:sz w:val="28"/>
          <w:szCs w:val="28"/>
          <w:lang w:val="en-GB"/>
        </w:rPr>
        <w:t xml:space="preserve"> This period </w:t>
      </w:r>
      <w:proofErr w:type="gramStart"/>
      <w:r w:rsidRPr="00077314">
        <w:rPr>
          <w:rFonts w:ascii="Times New Roman" w:hAnsi="Times New Roman" w:cs="Times New Roman"/>
          <w:sz w:val="28"/>
          <w:szCs w:val="28"/>
          <w:lang w:val="en-GB"/>
        </w:rPr>
        <w:t>was also complicated</w:t>
      </w:r>
      <w:proofErr w:type="gramEnd"/>
      <w:r w:rsidRPr="00077314">
        <w:rPr>
          <w:rFonts w:ascii="Times New Roman" w:hAnsi="Times New Roman" w:cs="Times New Roman"/>
          <w:sz w:val="28"/>
          <w:szCs w:val="28"/>
          <w:lang w:val="en-GB"/>
        </w:rPr>
        <w:t xml:space="preserve"> by the lack of comprehensive regulation of financial and tax accounting for retail sales of the relevant excisable goods. The negative consequences of the law entering into force without observing </w:t>
      </w:r>
      <w:proofErr w:type="gramStart"/>
      <w:r w:rsidRPr="00077314">
        <w:rPr>
          <w:rFonts w:ascii="Times New Roman" w:hAnsi="Times New Roman" w:cs="Times New Roman"/>
          <w:sz w:val="28"/>
          <w:szCs w:val="28"/>
          <w:lang w:val="en-GB"/>
        </w:rPr>
        <w:t>the required transitional period could have been mitigated by various instruments</w:t>
      </w:r>
      <w:proofErr w:type="gramEnd"/>
      <w:r w:rsidRPr="00077314">
        <w:rPr>
          <w:rFonts w:ascii="Times New Roman" w:hAnsi="Times New Roman" w:cs="Times New Roman"/>
          <w:sz w:val="28"/>
          <w:szCs w:val="28"/>
          <w:lang w:val="en-GB"/>
        </w:rPr>
        <w:t>, in particular by exempting legal entities from liability for failure to comply with the established requirements of the law, which in this case was not applied (provided for).</w:t>
      </w:r>
    </w:p>
    <w:p w:rsidR="00663251" w:rsidRPr="00077314" w:rsidRDefault="00663251" w:rsidP="00663251">
      <w:pPr>
        <w:pStyle w:val="HTML"/>
        <w:ind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The immediate entry into force of the impugned provision of the Code in the wording of Law No. 71 resulted in an excessive tax burden on the financial activities of business entities. Such </w:t>
      </w:r>
      <w:r w:rsidR="00771436">
        <w:rPr>
          <w:rFonts w:ascii="Times New Roman" w:hAnsi="Times New Roman" w:cs="Times New Roman"/>
          <w:sz w:val="28"/>
          <w:szCs w:val="28"/>
          <w:lang w:val="en-GB"/>
        </w:rPr>
        <w:t>a</w:t>
      </w:r>
      <w:r w:rsidR="00771436" w:rsidRPr="00077314">
        <w:rPr>
          <w:rFonts w:ascii="Times New Roman" w:hAnsi="Times New Roman" w:cs="Times New Roman"/>
          <w:sz w:val="28"/>
          <w:szCs w:val="28"/>
          <w:lang w:val="en-GB"/>
        </w:rPr>
        <w:t>mendments</w:t>
      </w:r>
      <w:r w:rsidRPr="00077314">
        <w:rPr>
          <w:rFonts w:ascii="Times New Roman" w:hAnsi="Times New Roman" w:cs="Times New Roman"/>
          <w:sz w:val="28"/>
          <w:szCs w:val="28"/>
          <w:lang w:val="en-GB"/>
        </w:rPr>
        <w:t xml:space="preserve"> in the tax legislation of Ukraine do not contribute to the state's protection of competition in business activities, as guaranteed by the first sentence of Article 42.3 of the Fundamental Law.</w:t>
      </w:r>
    </w:p>
    <w:p w:rsidR="00663251" w:rsidRPr="00077314" w:rsidRDefault="00663251" w:rsidP="00663251">
      <w:pPr>
        <w:pStyle w:val="HTML"/>
        <w:ind w:firstLine="851"/>
        <w:jc w:val="both"/>
        <w:rPr>
          <w:rFonts w:ascii="Times New Roman" w:hAnsi="Times New Roman" w:cs="Times New Roman"/>
          <w:sz w:val="28"/>
          <w:szCs w:val="28"/>
          <w:lang w:val="en-GB"/>
        </w:rPr>
      </w:pPr>
      <w:proofErr w:type="gramStart"/>
      <w:r w:rsidRPr="00077314">
        <w:rPr>
          <w:rFonts w:ascii="Times New Roman" w:hAnsi="Times New Roman" w:cs="Times New Roman"/>
          <w:sz w:val="28"/>
          <w:szCs w:val="28"/>
          <w:lang w:val="en-GB"/>
        </w:rPr>
        <w:t xml:space="preserve">The Constitutional Court points out that the </w:t>
      </w:r>
      <w:r w:rsidR="009044EC" w:rsidRPr="00077314">
        <w:rPr>
          <w:rFonts w:ascii="Times New Roman" w:hAnsi="Times New Roman" w:cs="Times New Roman"/>
          <w:sz w:val="28"/>
          <w:szCs w:val="28"/>
          <w:lang w:val="en-GB"/>
        </w:rPr>
        <w:t>levelling</w:t>
      </w:r>
      <w:r w:rsidRPr="00077314">
        <w:rPr>
          <w:rFonts w:ascii="Times New Roman" w:hAnsi="Times New Roman" w:cs="Times New Roman"/>
          <w:sz w:val="28"/>
          <w:szCs w:val="28"/>
          <w:lang w:val="en-GB"/>
        </w:rPr>
        <w:t xml:space="preserve"> of the principle of certainty of the tax law and deprivation of taxpayers of the possibility of any tax planning in view of the unexpected additional tax burden on taxpayers as a result of the actual immediate entry into force of the impugned provision of the Code in the wording of Law No. 71 did not contribute to the protection of the rights of business entities and the protection of competition in business activities.</w:t>
      </w:r>
      <w:proofErr w:type="gramEnd"/>
    </w:p>
    <w:p w:rsidR="007D71E9" w:rsidRPr="00077314" w:rsidRDefault="003C38CC" w:rsidP="00134BC6">
      <w:pPr>
        <w:pStyle w:val="HTML"/>
        <w:ind w:right="-92" w:firstLine="851"/>
        <w:jc w:val="both"/>
        <w:rPr>
          <w:rFonts w:ascii="Times New Roman" w:hAnsi="Times New Roman" w:cs="Times New Roman"/>
          <w:sz w:val="28"/>
          <w:szCs w:val="28"/>
          <w:lang w:val="en-GB"/>
        </w:rPr>
      </w:pPr>
      <w:proofErr w:type="gramStart"/>
      <w:r>
        <w:rPr>
          <w:rFonts w:ascii="Times New Roman" w:hAnsi="Times New Roman" w:cs="Times New Roman"/>
          <w:sz w:val="28"/>
          <w:szCs w:val="28"/>
          <w:lang w:val="en-GB"/>
        </w:rPr>
        <w:t xml:space="preserve">The individual provision of </w:t>
      </w:r>
      <w:r w:rsidR="00663251" w:rsidRPr="00077314">
        <w:rPr>
          <w:rFonts w:ascii="Times New Roman" w:hAnsi="Times New Roman" w:cs="Times New Roman"/>
          <w:sz w:val="28"/>
          <w:szCs w:val="28"/>
          <w:lang w:val="en-GB"/>
        </w:rPr>
        <w:t xml:space="preserve"> passage 2 of Article 14.1.212 of the Tax Code</w:t>
      </w:r>
      <w:r w:rsidR="00077314" w:rsidRPr="00077314">
        <w:rPr>
          <w:rFonts w:ascii="Times New Roman" w:hAnsi="Times New Roman" w:cs="Times New Roman"/>
          <w:sz w:val="28"/>
          <w:szCs w:val="28"/>
          <w:lang w:val="en-GB"/>
        </w:rPr>
        <w:t xml:space="preserve"> of Ukraine</w:t>
      </w:r>
      <w:r w:rsidR="00663251" w:rsidRPr="00077314">
        <w:rPr>
          <w:rFonts w:ascii="Times New Roman" w:hAnsi="Times New Roman" w:cs="Times New Roman"/>
          <w:sz w:val="28"/>
          <w:szCs w:val="28"/>
          <w:lang w:val="en-GB"/>
        </w:rPr>
        <w:t xml:space="preserve"> in the wording of the Law</w:t>
      </w:r>
      <w:r w:rsidR="00077314" w:rsidRPr="00077314">
        <w:rPr>
          <w:rFonts w:ascii="Times New Roman" w:hAnsi="Times New Roman" w:cs="Times New Roman"/>
          <w:sz w:val="28"/>
          <w:szCs w:val="28"/>
          <w:lang w:val="en-GB"/>
        </w:rPr>
        <w:t xml:space="preserve"> of Ukraine</w:t>
      </w:r>
      <w:r w:rsidR="00663251" w:rsidRPr="00077314">
        <w:rPr>
          <w:rFonts w:ascii="Times New Roman" w:hAnsi="Times New Roman" w:cs="Times New Roman"/>
          <w:sz w:val="28"/>
          <w:szCs w:val="28"/>
          <w:lang w:val="en-GB"/>
        </w:rPr>
        <w:t xml:space="preserve"> “On Amendments to the Tax Code of Ukraine and Certain Legislative Acts of Ukraine on Tax Reform” No. 71</w:t>
      </w:r>
      <w:r w:rsidR="00077314" w:rsidRPr="00077314">
        <w:rPr>
          <w:rFonts w:ascii="Times New Roman" w:hAnsi="Times New Roman" w:cs="Times New Roman"/>
          <w:sz w:val="28"/>
          <w:szCs w:val="28"/>
          <w:lang w:val="en-GB"/>
        </w:rPr>
        <w:t>–</w:t>
      </w:r>
      <w:r w:rsidR="00663251" w:rsidRPr="00077314">
        <w:rPr>
          <w:rFonts w:ascii="Times New Roman" w:hAnsi="Times New Roman" w:cs="Times New Roman"/>
          <w:sz w:val="28"/>
          <w:szCs w:val="28"/>
          <w:lang w:val="en-GB"/>
        </w:rPr>
        <w:t>VIII dated December 28, 2014 , namely: “goods specified in Article 215</w:t>
      </w:r>
      <w:r>
        <w:rPr>
          <w:rFonts w:ascii="Times New Roman" w:hAnsi="Times New Roman" w:cs="Times New Roman"/>
          <w:sz w:val="28"/>
          <w:szCs w:val="28"/>
          <w:lang w:val="en-GB"/>
        </w:rPr>
        <w:t>.3.4</w:t>
      </w:r>
      <w:r w:rsidR="00663251" w:rsidRPr="00077314">
        <w:rPr>
          <w:rFonts w:ascii="Times New Roman" w:hAnsi="Times New Roman" w:cs="Times New Roman"/>
          <w:sz w:val="28"/>
          <w:szCs w:val="28"/>
          <w:lang w:val="en-GB"/>
        </w:rPr>
        <w:t xml:space="preserve"> of this Code”, de</w:t>
      </w:r>
      <w:r w:rsidR="00077314" w:rsidRPr="00077314">
        <w:rPr>
          <w:rFonts w:ascii="Times New Roman" w:hAnsi="Times New Roman" w:cs="Times New Roman"/>
          <w:sz w:val="28"/>
          <w:szCs w:val="28"/>
          <w:lang w:val="en-GB"/>
        </w:rPr>
        <w:t>c</w:t>
      </w:r>
      <w:r w:rsidR="00663251" w:rsidRPr="00077314">
        <w:rPr>
          <w:rFonts w:ascii="Times New Roman" w:hAnsi="Times New Roman" w:cs="Times New Roman"/>
          <w:sz w:val="28"/>
          <w:szCs w:val="28"/>
          <w:lang w:val="en-GB"/>
        </w:rPr>
        <w:t>lared inconsistent with the Constitution (unconstitutional).</w:t>
      </w:r>
      <w:proofErr w:type="gramEnd"/>
    </w:p>
    <w:p w:rsidR="007D71E9" w:rsidRPr="00077314" w:rsidRDefault="007D71E9" w:rsidP="00134BC6">
      <w:pPr>
        <w:pStyle w:val="HTML"/>
        <w:ind w:right="-92" w:firstLine="851"/>
        <w:jc w:val="both"/>
        <w:rPr>
          <w:rFonts w:ascii="Times New Roman" w:hAnsi="Times New Roman" w:cs="Times New Roman"/>
          <w:sz w:val="28"/>
          <w:szCs w:val="28"/>
          <w:lang w:val="en-GB"/>
        </w:rPr>
      </w:pPr>
    </w:p>
    <w:p w:rsidR="00E46FDB" w:rsidRPr="00077314" w:rsidRDefault="00E46FDB" w:rsidP="00134BC6">
      <w:pPr>
        <w:pStyle w:val="HTML"/>
        <w:ind w:right="-92" w:firstLine="851"/>
        <w:jc w:val="both"/>
        <w:rPr>
          <w:rFonts w:ascii="Times New Roman" w:hAnsi="Times New Roman" w:cs="Times New Roman"/>
          <w:b/>
          <w:bCs/>
          <w:sz w:val="28"/>
          <w:szCs w:val="28"/>
          <w:u w:val="single"/>
          <w:lang w:val="en-GB"/>
        </w:rPr>
      </w:pPr>
    </w:p>
    <w:p w:rsidR="00134BC6" w:rsidRPr="00077314" w:rsidRDefault="00134BC6" w:rsidP="00134BC6">
      <w:pPr>
        <w:pStyle w:val="HTML"/>
        <w:ind w:right="-92" w:firstLine="851"/>
        <w:jc w:val="both"/>
        <w:rPr>
          <w:rFonts w:ascii="Times New Roman" w:hAnsi="Times New Roman" w:cs="Times New Roman"/>
          <w:b/>
          <w:bCs/>
          <w:sz w:val="28"/>
          <w:szCs w:val="28"/>
          <w:u w:val="single"/>
          <w:lang w:val="en-GB"/>
        </w:rPr>
      </w:pPr>
      <w:r w:rsidRPr="00077314">
        <w:rPr>
          <w:rFonts w:ascii="Times New Roman" w:hAnsi="Times New Roman" w:cs="Times New Roman"/>
          <w:b/>
          <w:bCs/>
          <w:sz w:val="28"/>
          <w:szCs w:val="28"/>
          <w:u w:val="single"/>
          <w:lang w:val="en-GB"/>
        </w:rPr>
        <w:t>Supplementary information:</w:t>
      </w:r>
    </w:p>
    <w:p w:rsidR="00134BC6" w:rsidRPr="00077314" w:rsidRDefault="00134BC6" w:rsidP="00134BC6">
      <w:pPr>
        <w:pStyle w:val="HTML"/>
        <w:ind w:right="-92"/>
        <w:jc w:val="both"/>
        <w:rPr>
          <w:rFonts w:ascii="Times New Roman" w:hAnsi="Times New Roman" w:cs="Times New Roman"/>
          <w:bCs/>
          <w:sz w:val="28"/>
          <w:szCs w:val="28"/>
          <w:lang w:val="en-GB"/>
        </w:rPr>
      </w:pPr>
    </w:p>
    <w:p w:rsidR="00134BC6" w:rsidRPr="00077314" w:rsidRDefault="000B3183" w:rsidP="000B3183">
      <w:pPr>
        <w:pStyle w:val="HTML"/>
        <w:numPr>
          <w:ilvl w:val="0"/>
          <w:numId w:val="1"/>
        </w:numPr>
        <w:ind w:right="-92"/>
        <w:jc w:val="both"/>
        <w:rPr>
          <w:rFonts w:ascii="Times New Roman" w:hAnsi="Times New Roman" w:cs="Times New Roman"/>
          <w:bCs/>
          <w:sz w:val="28"/>
          <w:szCs w:val="28"/>
          <w:lang w:val="en-GB"/>
        </w:rPr>
      </w:pPr>
      <w:r w:rsidRPr="00077314">
        <w:rPr>
          <w:rFonts w:asciiTheme="majorBidi" w:hAnsiTheme="majorBidi" w:cstheme="majorBidi"/>
          <w:sz w:val="28"/>
          <w:szCs w:val="28"/>
          <w:lang w:val="en-GB"/>
        </w:rPr>
        <w:t>First Protocol to the Convention for the Protection of Human Rights and Fundamental Freedoms of 1950</w:t>
      </w:r>
      <w:r w:rsidR="00134BC6" w:rsidRPr="00077314">
        <w:rPr>
          <w:rFonts w:ascii="Times New Roman" w:hAnsi="Times New Roman" w:cs="Times New Roman"/>
          <w:bCs/>
          <w:sz w:val="28"/>
          <w:szCs w:val="28"/>
          <w:lang w:val="en-GB"/>
        </w:rPr>
        <w:t>;</w:t>
      </w:r>
    </w:p>
    <w:p w:rsidR="000B3183" w:rsidRPr="00077314" w:rsidRDefault="008C475E" w:rsidP="000B3183">
      <w:pPr>
        <w:pStyle w:val="HTML"/>
        <w:numPr>
          <w:ilvl w:val="0"/>
          <w:numId w:val="1"/>
        </w:numPr>
        <w:ind w:right="-92"/>
        <w:jc w:val="both"/>
        <w:rPr>
          <w:rFonts w:ascii="Times New Roman" w:hAnsi="Times New Roman" w:cs="Times New Roman"/>
          <w:bCs/>
          <w:sz w:val="28"/>
          <w:szCs w:val="28"/>
          <w:lang w:val="en-GB"/>
        </w:rPr>
      </w:pPr>
      <w:r w:rsidRPr="00077314">
        <w:rPr>
          <w:rFonts w:ascii="Times New Roman" w:hAnsi="Times New Roman" w:cs="Times New Roman"/>
          <w:bCs/>
          <w:sz w:val="28"/>
          <w:szCs w:val="28"/>
          <w:lang w:val="en-GB"/>
        </w:rPr>
        <w:t xml:space="preserve">Report on the rule of law </w:t>
      </w:r>
      <w:r w:rsidRPr="00077314">
        <w:rPr>
          <w:rFonts w:ascii="Times New Roman" w:hAnsi="Times New Roman" w:cs="Times New Roman"/>
          <w:sz w:val="28"/>
          <w:szCs w:val="28"/>
          <w:lang w:val="en-GB"/>
        </w:rPr>
        <w:t>–</w:t>
      </w:r>
      <w:r w:rsidRPr="00077314">
        <w:rPr>
          <w:rFonts w:ascii="Times New Roman" w:hAnsi="Times New Roman" w:cs="Times New Roman"/>
          <w:bCs/>
          <w:sz w:val="28"/>
          <w:szCs w:val="28"/>
          <w:lang w:val="en-GB"/>
        </w:rPr>
        <w:t xml:space="preserve"> Adopted by the Venice Commission at its 86th plenary session (Venice, 25</w:t>
      </w:r>
      <w:r w:rsidRPr="00077314">
        <w:rPr>
          <w:rFonts w:ascii="Times New Roman" w:hAnsi="Times New Roman" w:cs="Times New Roman"/>
          <w:sz w:val="28"/>
          <w:szCs w:val="28"/>
          <w:lang w:val="en-GB"/>
        </w:rPr>
        <w:t>–</w:t>
      </w:r>
      <w:r w:rsidRPr="00077314">
        <w:rPr>
          <w:rFonts w:ascii="Times New Roman" w:hAnsi="Times New Roman" w:cs="Times New Roman"/>
          <w:bCs/>
          <w:sz w:val="28"/>
          <w:szCs w:val="28"/>
          <w:lang w:val="en-GB"/>
        </w:rPr>
        <w:t xml:space="preserve">26 March 2011) </w:t>
      </w:r>
      <w:r w:rsidRPr="00077314">
        <w:rPr>
          <w:rFonts w:ascii="Times New Roman" w:hAnsi="Times New Roman"/>
          <w:sz w:val="28"/>
          <w:szCs w:val="28"/>
          <w:lang w:val="en-GB"/>
        </w:rPr>
        <w:t>[CDL-</w:t>
      </w:r>
      <w:proofErr w:type="gramStart"/>
      <w:r w:rsidRPr="00077314">
        <w:rPr>
          <w:rFonts w:ascii="Times New Roman" w:hAnsi="Times New Roman"/>
          <w:sz w:val="28"/>
          <w:szCs w:val="28"/>
          <w:lang w:val="en-GB"/>
        </w:rPr>
        <w:t>AD(</w:t>
      </w:r>
      <w:proofErr w:type="gramEnd"/>
      <w:r w:rsidRPr="00077314">
        <w:rPr>
          <w:rFonts w:ascii="Times New Roman" w:hAnsi="Times New Roman"/>
          <w:sz w:val="28"/>
          <w:szCs w:val="28"/>
          <w:lang w:val="en-GB"/>
        </w:rPr>
        <w:t>2011)003rev]</w:t>
      </w:r>
      <w:r w:rsidR="000B3183" w:rsidRPr="00077314">
        <w:rPr>
          <w:rFonts w:ascii="Times New Roman" w:hAnsi="Times New Roman"/>
          <w:sz w:val="28"/>
          <w:szCs w:val="28"/>
          <w:lang w:val="en-GB"/>
        </w:rPr>
        <w:t>.</w:t>
      </w:r>
    </w:p>
    <w:p w:rsidR="00134BC6" w:rsidRPr="00077314" w:rsidRDefault="00134BC6" w:rsidP="00134BC6">
      <w:pPr>
        <w:pStyle w:val="HTML"/>
        <w:ind w:firstLine="851"/>
        <w:jc w:val="both"/>
        <w:rPr>
          <w:rFonts w:ascii="Times New Roman" w:hAnsi="Times New Roman" w:cs="Times New Roman"/>
          <w:sz w:val="28"/>
          <w:szCs w:val="28"/>
          <w:lang w:val="en-GB"/>
        </w:rPr>
      </w:pPr>
    </w:p>
    <w:p w:rsidR="00134BC6" w:rsidRPr="00077314" w:rsidRDefault="00134BC6" w:rsidP="00134BC6">
      <w:pPr>
        <w:pStyle w:val="HTML"/>
        <w:ind w:right="-92" w:firstLine="851"/>
        <w:jc w:val="both"/>
        <w:rPr>
          <w:rFonts w:ascii="Times New Roman" w:hAnsi="Times New Roman" w:cs="Times New Roman"/>
          <w:b/>
          <w:bCs/>
          <w:sz w:val="28"/>
          <w:szCs w:val="28"/>
          <w:u w:val="single"/>
          <w:lang w:val="en-GB"/>
        </w:rPr>
      </w:pPr>
      <w:r w:rsidRPr="00077314">
        <w:rPr>
          <w:rFonts w:ascii="Times New Roman" w:hAnsi="Times New Roman" w:cs="Times New Roman"/>
          <w:b/>
          <w:bCs/>
          <w:sz w:val="28"/>
          <w:szCs w:val="28"/>
          <w:u w:val="single"/>
          <w:lang w:val="en-GB"/>
        </w:rPr>
        <w:t>Cross-References:</w:t>
      </w:r>
    </w:p>
    <w:p w:rsidR="00134BC6" w:rsidRPr="00077314" w:rsidRDefault="00134BC6" w:rsidP="00134BC6">
      <w:pPr>
        <w:pStyle w:val="HTML"/>
        <w:ind w:right="-92" w:firstLine="851"/>
        <w:jc w:val="both"/>
        <w:rPr>
          <w:rFonts w:ascii="Times New Roman" w:hAnsi="Times New Roman" w:cs="Times New Roman"/>
          <w:sz w:val="28"/>
          <w:szCs w:val="28"/>
          <w:lang w:val="en-GB"/>
        </w:rPr>
      </w:pPr>
    </w:p>
    <w:p w:rsidR="00134BC6" w:rsidRPr="00077314" w:rsidRDefault="00134BC6" w:rsidP="00134BC6">
      <w:pPr>
        <w:pStyle w:val="HTML"/>
        <w:ind w:right="-92" w:firstLine="851"/>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Constitutional Court of Ukraine: </w:t>
      </w:r>
    </w:p>
    <w:p w:rsidR="00134BC6" w:rsidRPr="00077314" w:rsidRDefault="00134BC6" w:rsidP="00134BC6">
      <w:pPr>
        <w:pStyle w:val="HTML"/>
        <w:ind w:right="-92" w:firstLine="851"/>
        <w:jc w:val="both"/>
        <w:rPr>
          <w:rFonts w:ascii="Times New Roman" w:hAnsi="Times New Roman" w:cs="Times New Roman"/>
          <w:sz w:val="28"/>
          <w:szCs w:val="28"/>
          <w:lang w:val="en-GB"/>
        </w:rPr>
      </w:pPr>
    </w:p>
    <w:p w:rsidR="00134BC6" w:rsidRPr="00077314" w:rsidRDefault="00134BC6" w:rsidP="00134BC6">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no. 1-</w:t>
      </w:r>
      <w:r w:rsidR="007D71E9" w:rsidRPr="00077314">
        <w:rPr>
          <w:rFonts w:ascii="Times New Roman" w:hAnsi="Times New Roman" w:cs="Times New Roman"/>
          <w:sz w:val="28"/>
          <w:szCs w:val="28"/>
          <w:lang w:val="en-GB"/>
        </w:rPr>
        <w:t>r</w:t>
      </w:r>
      <w:r w:rsidRPr="00077314">
        <w:rPr>
          <w:rFonts w:ascii="Times New Roman" w:hAnsi="Times New Roman" w:cs="Times New Roman"/>
          <w:sz w:val="28"/>
          <w:szCs w:val="28"/>
          <w:lang w:val="en-GB"/>
        </w:rPr>
        <w:t>p/</w:t>
      </w:r>
      <w:r w:rsidR="007D71E9" w:rsidRPr="00077314">
        <w:rPr>
          <w:rFonts w:ascii="Times New Roman" w:hAnsi="Times New Roman" w:cs="Times New Roman"/>
          <w:sz w:val="28"/>
          <w:szCs w:val="28"/>
          <w:lang w:val="en-GB"/>
        </w:rPr>
        <w:t>2013</w:t>
      </w:r>
      <w:r w:rsidRPr="00077314">
        <w:rPr>
          <w:rFonts w:ascii="Times New Roman" w:hAnsi="Times New Roman" w:cs="Times New Roman"/>
          <w:sz w:val="28"/>
          <w:szCs w:val="28"/>
          <w:lang w:val="en-GB"/>
        </w:rPr>
        <w:t xml:space="preserve">, </w:t>
      </w:r>
      <w:r w:rsidR="0018029F" w:rsidRPr="00077314">
        <w:rPr>
          <w:rFonts w:ascii="Times New Roman" w:hAnsi="Times New Roman" w:cs="Times New Roman"/>
          <w:sz w:val="28"/>
          <w:szCs w:val="28"/>
          <w:lang w:val="en-GB"/>
        </w:rPr>
        <w:t>05.02</w:t>
      </w:r>
      <w:r w:rsidRPr="00077314">
        <w:rPr>
          <w:rFonts w:ascii="Times New Roman" w:hAnsi="Times New Roman" w:cs="Times New Roman"/>
          <w:sz w:val="28"/>
          <w:szCs w:val="28"/>
          <w:lang w:val="en-GB"/>
        </w:rPr>
        <w:t>.</w:t>
      </w:r>
      <w:r w:rsidR="0018029F" w:rsidRPr="00077314">
        <w:rPr>
          <w:rFonts w:ascii="Times New Roman" w:hAnsi="Times New Roman" w:cs="Times New Roman"/>
          <w:sz w:val="28"/>
          <w:szCs w:val="28"/>
          <w:lang w:val="en-GB"/>
        </w:rPr>
        <w:t>2013</w:t>
      </w:r>
      <w:r w:rsidRPr="00077314">
        <w:rPr>
          <w:rFonts w:ascii="Times New Roman" w:hAnsi="Times New Roman" w:cs="Times New Roman"/>
          <w:sz w:val="28"/>
          <w:szCs w:val="28"/>
          <w:lang w:val="en-GB"/>
        </w:rPr>
        <w:t>;</w:t>
      </w:r>
    </w:p>
    <w:p w:rsidR="00134BC6" w:rsidRPr="00077314" w:rsidRDefault="00134BC6" w:rsidP="00134BC6">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no. </w:t>
      </w:r>
      <w:r w:rsidR="0018029F" w:rsidRPr="00077314">
        <w:rPr>
          <w:rFonts w:ascii="Times New Roman" w:hAnsi="Times New Roman" w:cs="Times New Roman"/>
          <w:sz w:val="28"/>
          <w:szCs w:val="28"/>
          <w:lang w:val="en-GB"/>
        </w:rPr>
        <w:t>5-r</w:t>
      </w:r>
      <w:r w:rsidRPr="00077314">
        <w:rPr>
          <w:rFonts w:ascii="Times New Roman" w:hAnsi="Times New Roman" w:cs="Times New Roman"/>
          <w:sz w:val="28"/>
          <w:szCs w:val="28"/>
          <w:lang w:val="en-GB"/>
        </w:rPr>
        <w:t>/</w:t>
      </w:r>
      <w:r w:rsidR="0018029F" w:rsidRPr="00077314">
        <w:rPr>
          <w:rFonts w:ascii="Times New Roman" w:hAnsi="Times New Roman" w:cs="Times New Roman"/>
          <w:sz w:val="28"/>
          <w:szCs w:val="28"/>
          <w:lang w:val="en-GB"/>
        </w:rPr>
        <w:t>2018</w:t>
      </w:r>
      <w:r w:rsidRPr="00077314">
        <w:rPr>
          <w:rFonts w:ascii="Times New Roman" w:hAnsi="Times New Roman" w:cs="Times New Roman"/>
          <w:sz w:val="28"/>
          <w:szCs w:val="28"/>
          <w:lang w:val="en-GB"/>
        </w:rPr>
        <w:t xml:space="preserve">, </w:t>
      </w:r>
      <w:r w:rsidR="0018029F" w:rsidRPr="00077314">
        <w:rPr>
          <w:rFonts w:ascii="Times New Roman" w:hAnsi="Times New Roman" w:cs="Times New Roman"/>
          <w:sz w:val="28"/>
          <w:szCs w:val="28"/>
          <w:lang w:val="en-GB"/>
        </w:rPr>
        <w:t>22</w:t>
      </w:r>
      <w:r w:rsidRPr="00077314">
        <w:rPr>
          <w:rFonts w:ascii="Times New Roman" w:hAnsi="Times New Roman" w:cs="Times New Roman"/>
          <w:sz w:val="28"/>
          <w:szCs w:val="28"/>
          <w:lang w:val="en-GB"/>
        </w:rPr>
        <w:t>.0</w:t>
      </w:r>
      <w:r w:rsidR="0018029F" w:rsidRPr="00077314">
        <w:rPr>
          <w:rFonts w:ascii="Times New Roman" w:hAnsi="Times New Roman" w:cs="Times New Roman"/>
          <w:sz w:val="28"/>
          <w:szCs w:val="28"/>
          <w:lang w:val="en-GB"/>
        </w:rPr>
        <w:t>5</w:t>
      </w:r>
      <w:r w:rsidRPr="00077314">
        <w:rPr>
          <w:rFonts w:ascii="Times New Roman" w:hAnsi="Times New Roman" w:cs="Times New Roman"/>
          <w:sz w:val="28"/>
          <w:szCs w:val="28"/>
          <w:lang w:val="en-GB"/>
        </w:rPr>
        <w:t>.</w:t>
      </w:r>
      <w:r w:rsidR="0018029F" w:rsidRPr="00077314">
        <w:rPr>
          <w:rFonts w:ascii="Times New Roman" w:hAnsi="Times New Roman" w:cs="Times New Roman"/>
          <w:sz w:val="28"/>
          <w:szCs w:val="28"/>
          <w:lang w:val="en-GB"/>
        </w:rPr>
        <w:t>2018</w:t>
      </w:r>
      <w:r w:rsidRPr="00077314">
        <w:rPr>
          <w:rFonts w:ascii="Times New Roman" w:hAnsi="Times New Roman" w:cs="Times New Roman"/>
          <w:sz w:val="28"/>
          <w:szCs w:val="28"/>
          <w:lang w:val="en-GB"/>
        </w:rPr>
        <w:t>;</w:t>
      </w:r>
    </w:p>
    <w:p w:rsidR="00134BC6" w:rsidRPr="00077314" w:rsidRDefault="0018029F" w:rsidP="00134BC6">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no. 3-r(I)</w:t>
      </w:r>
      <w:r w:rsidR="00134BC6" w:rsidRPr="00077314">
        <w:rPr>
          <w:rFonts w:ascii="Times New Roman" w:hAnsi="Times New Roman" w:cs="Times New Roman"/>
          <w:sz w:val="28"/>
          <w:szCs w:val="28"/>
          <w:lang w:val="en-GB"/>
        </w:rPr>
        <w:t>/20</w:t>
      </w:r>
      <w:r w:rsidRPr="00077314">
        <w:rPr>
          <w:rFonts w:ascii="Times New Roman" w:hAnsi="Times New Roman" w:cs="Times New Roman"/>
          <w:sz w:val="28"/>
          <w:szCs w:val="28"/>
          <w:lang w:val="en-GB"/>
        </w:rPr>
        <w:t>19</w:t>
      </w:r>
      <w:r w:rsidR="00134BC6" w:rsidRPr="00077314">
        <w:rPr>
          <w:rFonts w:ascii="Times New Roman" w:hAnsi="Times New Roman" w:cs="Times New Roman"/>
          <w:sz w:val="28"/>
          <w:szCs w:val="28"/>
          <w:lang w:val="en-GB"/>
        </w:rPr>
        <w:t>, 05.0</w:t>
      </w:r>
      <w:r w:rsidRPr="00077314">
        <w:rPr>
          <w:rFonts w:ascii="Times New Roman" w:hAnsi="Times New Roman" w:cs="Times New Roman"/>
          <w:sz w:val="28"/>
          <w:szCs w:val="28"/>
          <w:lang w:val="en-GB"/>
        </w:rPr>
        <w:t>6</w:t>
      </w:r>
      <w:r w:rsidR="00134BC6" w:rsidRPr="00077314">
        <w:rPr>
          <w:rFonts w:ascii="Times New Roman" w:hAnsi="Times New Roman" w:cs="Times New Roman"/>
          <w:sz w:val="28"/>
          <w:szCs w:val="28"/>
          <w:lang w:val="en-GB"/>
        </w:rPr>
        <w:t>.20</w:t>
      </w:r>
      <w:r w:rsidRPr="00077314">
        <w:rPr>
          <w:rFonts w:ascii="Times New Roman" w:hAnsi="Times New Roman" w:cs="Times New Roman"/>
          <w:sz w:val="28"/>
          <w:szCs w:val="28"/>
          <w:lang w:val="en-GB"/>
        </w:rPr>
        <w:t>19</w:t>
      </w:r>
      <w:r w:rsidR="00134BC6" w:rsidRPr="00077314">
        <w:rPr>
          <w:rFonts w:ascii="Times New Roman" w:hAnsi="Times New Roman" w:cs="Times New Roman"/>
          <w:sz w:val="28"/>
          <w:szCs w:val="28"/>
          <w:lang w:val="en-GB"/>
        </w:rPr>
        <w:t>;</w:t>
      </w:r>
    </w:p>
    <w:p w:rsidR="00134BC6" w:rsidRPr="00077314" w:rsidRDefault="00134BC6" w:rsidP="00134BC6">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no. </w:t>
      </w:r>
      <w:r w:rsidR="0018029F" w:rsidRPr="00077314">
        <w:rPr>
          <w:rFonts w:ascii="Times New Roman" w:hAnsi="Times New Roman" w:cs="Times New Roman"/>
          <w:sz w:val="28"/>
          <w:szCs w:val="28"/>
          <w:lang w:val="en-GB"/>
        </w:rPr>
        <w:t>6-r</w:t>
      </w:r>
      <w:r w:rsidRPr="00077314">
        <w:rPr>
          <w:rFonts w:ascii="Times New Roman" w:hAnsi="Times New Roman" w:cs="Times New Roman"/>
          <w:sz w:val="28"/>
          <w:szCs w:val="28"/>
          <w:lang w:val="en-GB"/>
        </w:rPr>
        <w:t>/20</w:t>
      </w:r>
      <w:r w:rsidR="0018029F" w:rsidRPr="00077314">
        <w:rPr>
          <w:rFonts w:ascii="Times New Roman" w:hAnsi="Times New Roman" w:cs="Times New Roman"/>
          <w:sz w:val="28"/>
          <w:szCs w:val="28"/>
          <w:lang w:val="en-GB"/>
        </w:rPr>
        <w:t>19</w:t>
      </w:r>
      <w:r w:rsidRPr="00077314">
        <w:rPr>
          <w:rFonts w:ascii="Times New Roman" w:hAnsi="Times New Roman" w:cs="Times New Roman"/>
          <w:sz w:val="28"/>
          <w:szCs w:val="28"/>
          <w:lang w:val="en-GB"/>
        </w:rPr>
        <w:t xml:space="preserve">, </w:t>
      </w:r>
      <w:r w:rsidR="0018029F" w:rsidRPr="00077314">
        <w:rPr>
          <w:rFonts w:ascii="Times New Roman" w:hAnsi="Times New Roman" w:cs="Times New Roman"/>
          <w:sz w:val="28"/>
          <w:szCs w:val="28"/>
          <w:lang w:val="en-GB"/>
        </w:rPr>
        <w:t>20.06</w:t>
      </w:r>
      <w:r w:rsidRPr="00077314">
        <w:rPr>
          <w:rFonts w:ascii="Times New Roman" w:hAnsi="Times New Roman" w:cs="Times New Roman"/>
          <w:sz w:val="28"/>
          <w:szCs w:val="28"/>
          <w:lang w:val="en-GB"/>
        </w:rPr>
        <w:t>.20</w:t>
      </w:r>
      <w:r w:rsidR="0018029F" w:rsidRPr="00077314">
        <w:rPr>
          <w:rFonts w:ascii="Times New Roman" w:hAnsi="Times New Roman" w:cs="Times New Roman"/>
          <w:sz w:val="28"/>
          <w:szCs w:val="28"/>
          <w:lang w:val="en-GB"/>
        </w:rPr>
        <w:t>19</w:t>
      </w:r>
      <w:r w:rsidRPr="00077314">
        <w:rPr>
          <w:rFonts w:ascii="Times New Roman" w:hAnsi="Times New Roman" w:cs="Times New Roman"/>
          <w:sz w:val="28"/>
          <w:szCs w:val="28"/>
          <w:lang w:val="en-GB"/>
        </w:rPr>
        <w:t>;</w:t>
      </w:r>
    </w:p>
    <w:p w:rsidR="00134BC6" w:rsidRPr="00077314" w:rsidRDefault="0018029F" w:rsidP="00134BC6">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no. 1-r</w:t>
      </w:r>
      <w:r w:rsidR="00134BC6" w:rsidRPr="00077314">
        <w:rPr>
          <w:rFonts w:ascii="Times New Roman" w:hAnsi="Times New Roman" w:cs="Times New Roman"/>
          <w:sz w:val="28"/>
          <w:szCs w:val="28"/>
          <w:lang w:val="en-GB"/>
        </w:rPr>
        <w:t>/20</w:t>
      </w:r>
      <w:r w:rsidRPr="00077314">
        <w:rPr>
          <w:rFonts w:ascii="Times New Roman" w:hAnsi="Times New Roman" w:cs="Times New Roman"/>
          <w:sz w:val="28"/>
          <w:szCs w:val="28"/>
          <w:lang w:val="en-GB"/>
        </w:rPr>
        <w:t>20</w:t>
      </w:r>
      <w:r w:rsidR="00134BC6" w:rsidRPr="00077314">
        <w:rPr>
          <w:rFonts w:ascii="Times New Roman" w:hAnsi="Times New Roman" w:cs="Times New Roman"/>
          <w:sz w:val="28"/>
          <w:szCs w:val="28"/>
          <w:lang w:val="en-GB"/>
        </w:rPr>
        <w:t xml:space="preserve">, </w:t>
      </w:r>
      <w:r w:rsidR="00E62514" w:rsidRPr="00077314">
        <w:rPr>
          <w:rFonts w:ascii="Times New Roman" w:hAnsi="Times New Roman" w:cs="Times New Roman"/>
          <w:sz w:val="28"/>
          <w:szCs w:val="28"/>
          <w:lang w:val="en-GB"/>
        </w:rPr>
        <w:t>2</w:t>
      </w:r>
      <w:r w:rsidRPr="00077314">
        <w:rPr>
          <w:rFonts w:ascii="Times New Roman" w:hAnsi="Times New Roman" w:cs="Times New Roman"/>
          <w:sz w:val="28"/>
          <w:szCs w:val="28"/>
          <w:lang w:val="en-GB"/>
        </w:rPr>
        <w:t>3</w:t>
      </w:r>
      <w:r w:rsidR="00134BC6" w:rsidRPr="00077314">
        <w:rPr>
          <w:rFonts w:ascii="Times New Roman" w:hAnsi="Times New Roman" w:cs="Times New Roman"/>
          <w:sz w:val="28"/>
          <w:szCs w:val="28"/>
          <w:lang w:val="en-GB"/>
        </w:rPr>
        <w:t>.0</w:t>
      </w:r>
      <w:r w:rsidR="00E62514" w:rsidRPr="00077314">
        <w:rPr>
          <w:rFonts w:ascii="Times New Roman" w:hAnsi="Times New Roman" w:cs="Times New Roman"/>
          <w:sz w:val="28"/>
          <w:szCs w:val="28"/>
          <w:lang w:val="en-GB"/>
        </w:rPr>
        <w:t>1</w:t>
      </w:r>
      <w:r w:rsidR="00134BC6" w:rsidRPr="00077314">
        <w:rPr>
          <w:rFonts w:ascii="Times New Roman" w:hAnsi="Times New Roman" w:cs="Times New Roman"/>
          <w:sz w:val="28"/>
          <w:szCs w:val="28"/>
          <w:lang w:val="en-GB"/>
        </w:rPr>
        <w:t>.20</w:t>
      </w:r>
      <w:r w:rsidRPr="00077314">
        <w:rPr>
          <w:rFonts w:ascii="Times New Roman" w:hAnsi="Times New Roman" w:cs="Times New Roman"/>
          <w:sz w:val="28"/>
          <w:szCs w:val="28"/>
          <w:lang w:val="en-GB"/>
        </w:rPr>
        <w:t>20</w:t>
      </w:r>
      <w:r w:rsidR="00134BC6" w:rsidRPr="00077314">
        <w:rPr>
          <w:rFonts w:ascii="Times New Roman" w:hAnsi="Times New Roman" w:cs="Times New Roman"/>
          <w:sz w:val="28"/>
          <w:szCs w:val="28"/>
          <w:lang w:val="en-GB"/>
        </w:rPr>
        <w:t>;</w:t>
      </w:r>
    </w:p>
    <w:p w:rsidR="0018029F" w:rsidRPr="00077314" w:rsidRDefault="0018029F" w:rsidP="0018029F">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no. 2-r(II)/2020, 15.04.2020;</w:t>
      </w:r>
    </w:p>
    <w:p w:rsidR="0018029F" w:rsidRPr="00077314" w:rsidRDefault="0018029F" w:rsidP="0018029F">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no. 7-r/2020, 11.06.2020;</w:t>
      </w:r>
    </w:p>
    <w:p w:rsidR="0018029F" w:rsidRPr="00077314" w:rsidRDefault="0018029F" w:rsidP="0018029F">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no. 5-r(II)/20</w:t>
      </w:r>
      <w:r w:rsidR="000B3183" w:rsidRPr="00077314">
        <w:rPr>
          <w:rFonts w:ascii="Times New Roman" w:hAnsi="Times New Roman" w:cs="Times New Roman"/>
          <w:sz w:val="28"/>
          <w:szCs w:val="28"/>
          <w:lang w:val="en-GB"/>
        </w:rPr>
        <w:t>20</w:t>
      </w:r>
      <w:r w:rsidRPr="00077314">
        <w:rPr>
          <w:rFonts w:ascii="Times New Roman" w:hAnsi="Times New Roman" w:cs="Times New Roman"/>
          <w:sz w:val="28"/>
          <w:szCs w:val="28"/>
          <w:lang w:val="en-GB"/>
        </w:rPr>
        <w:t xml:space="preserve">, </w:t>
      </w:r>
      <w:r w:rsidR="000B3183" w:rsidRPr="00077314">
        <w:rPr>
          <w:rFonts w:ascii="Times New Roman" w:hAnsi="Times New Roman" w:cs="Times New Roman"/>
          <w:sz w:val="28"/>
          <w:szCs w:val="28"/>
          <w:lang w:val="en-GB"/>
        </w:rPr>
        <w:t>18</w:t>
      </w:r>
      <w:r w:rsidRPr="00077314">
        <w:rPr>
          <w:rFonts w:ascii="Times New Roman" w:hAnsi="Times New Roman" w:cs="Times New Roman"/>
          <w:sz w:val="28"/>
          <w:szCs w:val="28"/>
          <w:lang w:val="en-GB"/>
        </w:rPr>
        <w:t>.0</w:t>
      </w:r>
      <w:r w:rsidR="000B3183" w:rsidRPr="00077314">
        <w:rPr>
          <w:rFonts w:ascii="Times New Roman" w:hAnsi="Times New Roman" w:cs="Times New Roman"/>
          <w:sz w:val="28"/>
          <w:szCs w:val="28"/>
          <w:lang w:val="en-GB"/>
        </w:rPr>
        <w:t>6</w:t>
      </w:r>
      <w:r w:rsidRPr="00077314">
        <w:rPr>
          <w:rFonts w:ascii="Times New Roman" w:hAnsi="Times New Roman" w:cs="Times New Roman"/>
          <w:sz w:val="28"/>
          <w:szCs w:val="28"/>
          <w:lang w:val="en-GB"/>
        </w:rPr>
        <w:t>.20</w:t>
      </w:r>
      <w:r w:rsidR="000B3183" w:rsidRPr="00077314">
        <w:rPr>
          <w:rFonts w:ascii="Times New Roman" w:hAnsi="Times New Roman" w:cs="Times New Roman"/>
          <w:sz w:val="28"/>
          <w:szCs w:val="28"/>
          <w:lang w:val="en-GB"/>
        </w:rPr>
        <w:t>20</w:t>
      </w:r>
      <w:r w:rsidRPr="00077314">
        <w:rPr>
          <w:rFonts w:ascii="Times New Roman" w:hAnsi="Times New Roman" w:cs="Times New Roman"/>
          <w:sz w:val="28"/>
          <w:szCs w:val="28"/>
          <w:lang w:val="en-GB"/>
        </w:rPr>
        <w:t>;</w:t>
      </w:r>
    </w:p>
    <w:p w:rsidR="00134BC6" w:rsidRPr="00077314" w:rsidRDefault="0018029F" w:rsidP="000B3183">
      <w:pPr>
        <w:pStyle w:val="HTML"/>
        <w:numPr>
          <w:ilvl w:val="0"/>
          <w:numId w:val="1"/>
        </w:numPr>
        <w:ind w:right="-92"/>
        <w:jc w:val="both"/>
        <w:rPr>
          <w:rFonts w:ascii="Times New Roman" w:hAnsi="Times New Roman" w:cs="Times New Roman"/>
          <w:sz w:val="28"/>
          <w:szCs w:val="28"/>
          <w:lang w:val="en-GB"/>
        </w:rPr>
      </w:pPr>
      <w:r w:rsidRPr="00077314">
        <w:rPr>
          <w:rFonts w:ascii="Times New Roman" w:hAnsi="Times New Roman" w:cs="Times New Roman"/>
          <w:sz w:val="28"/>
          <w:szCs w:val="28"/>
          <w:lang w:val="en-GB"/>
        </w:rPr>
        <w:t xml:space="preserve">no. </w:t>
      </w:r>
      <w:r w:rsidR="000B3183" w:rsidRPr="00077314">
        <w:rPr>
          <w:rFonts w:ascii="Times New Roman" w:hAnsi="Times New Roman" w:cs="Times New Roman"/>
          <w:sz w:val="28"/>
          <w:szCs w:val="28"/>
          <w:lang w:val="en-GB"/>
        </w:rPr>
        <w:t>12-</w:t>
      </w:r>
      <w:proofErr w:type="gramStart"/>
      <w:r w:rsidR="000B3183" w:rsidRPr="00077314">
        <w:rPr>
          <w:rFonts w:ascii="Times New Roman" w:hAnsi="Times New Roman" w:cs="Times New Roman"/>
          <w:sz w:val="28"/>
          <w:szCs w:val="28"/>
          <w:lang w:val="en-GB"/>
        </w:rPr>
        <w:t>r(</w:t>
      </w:r>
      <w:proofErr w:type="gramEnd"/>
      <w:r w:rsidR="000B3183" w:rsidRPr="00077314">
        <w:rPr>
          <w:rFonts w:ascii="Times New Roman" w:hAnsi="Times New Roman" w:cs="Times New Roman"/>
          <w:sz w:val="28"/>
          <w:szCs w:val="28"/>
          <w:lang w:val="en-GB"/>
        </w:rPr>
        <w:t>II)</w:t>
      </w:r>
      <w:r w:rsidRPr="00077314">
        <w:rPr>
          <w:rFonts w:ascii="Times New Roman" w:hAnsi="Times New Roman" w:cs="Times New Roman"/>
          <w:sz w:val="28"/>
          <w:szCs w:val="28"/>
          <w:lang w:val="en-GB"/>
        </w:rPr>
        <w:t>/20</w:t>
      </w:r>
      <w:r w:rsidR="000B3183" w:rsidRPr="00077314">
        <w:rPr>
          <w:rFonts w:ascii="Times New Roman" w:hAnsi="Times New Roman" w:cs="Times New Roman"/>
          <w:sz w:val="28"/>
          <w:szCs w:val="28"/>
          <w:lang w:val="en-GB"/>
        </w:rPr>
        <w:t>24</w:t>
      </w:r>
      <w:r w:rsidRPr="00077314">
        <w:rPr>
          <w:rFonts w:ascii="Times New Roman" w:hAnsi="Times New Roman" w:cs="Times New Roman"/>
          <w:sz w:val="28"/>
          <w:szCs w:val="28"/>
          <w:lang w:val="en-GB"/>
        </w:rPr>
        <w:t xml:space="preserve">, </w:t>
      </w:r>
      <w:r w:rsidR="000B3183" w:rsidRPr="00077314">
        <w:rPr>
          <w:rFonts w:ascii="Times New Roman" w:hAnsi="Times New Roman" w:cs="Times New Roman"/>
          <w:sz w:val="28"/>
          <w:szCs w:val="28"/>
          <w:lang w:val="en-GB"/>
        </w:rPr>
        <w:t>18.12</w:t>
      </w:r>
      <w:r w:rsidRPr="00077314">
        <w:rPr>
          <w:rFonts w:ascii="Times New Roman" w:hAnsi="Times New Roman" w:cs="Times New Roman"/>
          <w:sz w:val="28"/>
          <w:szCs w:val="28"/>
          <w:lang w:val="en-GB"/>
        </w:rPr>
        <w:t>.20</w:t>
      </w:r>
      <w:r w:rsidR="000B3183" w:rsidRPr="00077314">
        <w:rPr>
          <w:rFonts w:ascii="Times New Roman" w:hAnsi="Times New Roman" w:cs="Times New Roman"/>
          <w:sz w:val="28"/>
          <w:szCs w:val="28"/>
          <w:lang w:val="en-GB"/>
        </w:rPr>
        <w:t>24</w:t>
      </w:r>
      <w:r w:rsidR="00134BC6" w:rsidRPr="00077314">
        <w:rPr>
          <w:rFonts w:ascii="Times New Roman" w:hAnsi="Times New Roman" w:cs="Times New Roman"/>
          <w:sz w:val="28"/>
          <w:szCs w:val="28"/>
          <w:lang w:val="en-GB"/>
        </w:rPr>
        <w:t>.</w:t>
      </w:r>
    </w:p>
    <w:p w:rsidR="00134BC6" w:rsidRPr="00077314" w:rsidRDefault="00134BC6" w:rsidP="00134BC6">
      <w:pPr>
        <w:pStyle w:val="HTML"/>
        <w:ind w:right="-92" w:firstLine="851"/>
        <w:jc w:val="both"/>
        <w:rPr>
          <w:rFonts w:ascii="Times New Roman" w:hAnsi="Times New Roman"/>
          <w:sz w:val="28"/>
          <w:szCs w:val="28"/>
          <w:lang w:val="en-GB"/>
        </w:rPr>
      </w:pPr>
    </w:p>
    <w:p w:rsidR="00134BC6" w:rsidRPr="00077314" w:rsidRDefault="00134BC6" w:rsidP="00134BC6">
      <w:pPr>
        <w:pStyle w:val="HTML"/>
        <w:ind w:right="-92" w:firstLine="851"/>
        <w:jc w:val="both"/>
        <w:rPr>
          <w:rFonts w:ascii="Times New Roman" w:hAnsi="Times New Roman"/>
          <w:sz w:val="28"/>
          <w:szCs w:val="28"/>
          <w:lang w:val="en-GB"/>
        </w:rPr>
      </w:pPr>
      <w:r w:rsidRPr="00077314">
        <w:rPr>
          <w:rFonts w:ascii="Times New Roman" w:hAnsi="Times New Roman"/>
          <w:sz w:val="28"/>
          <w:szCs w:val="28"/>
          <w:lang w:val="en-GB"/>
        </w:rPr>
        <w:t>European Court of Human Rights:</w:t>
      </w:r>
    </w:p>
    <w:p w:rsidR="00134BC6" w:rsidRPr="00077314" w:rsidRDefault="00134BC6" w:rsidP="00134BC6">
      <w:pPr>
        <w:pStyle w:val="HTML"/>
        <w:ind w:right="-92" w:firstLine="851"/>
        <w:jc w:val="both"/>
        <w:rPr>
          <w:rFonts w:ascii="Times New Roman" w:hAnsi="Times New Roman"/>
          <w:sz w:val="28"/>
          <w:szCs w:val="28"/>
          <w:lang w:val="en-GB"/>
        </w:rPr>
      </w:pPr>
    </w:p>
    <w:p w:rsidR="00E62514" w:rsidRPr="00077314" w:rsidRDefault="000B3183" w:rsidP="000B3183">
      <w:pPr>
        <w:pStyle w:val="a3"/>
        <w:numPr>
          <w:ilvl w:val="0"/>
          <w:numId w:val="1"/>
        </w:numPr>
        <w:ind w:right="-92"/>
        <w:jc w:val="both"/>
        <w:rPr>
          <w:sz w:val="28"/>
          <w:szCs w:val="28"/>
          <w:lang w:val="en-GB"/>
        </w:rPr>
      </w:pPr>
      <w:proofErr w:type="spellStart"/>
      <w:r w:rsidRPr="00077314">
        <w:rPr>
          <w:i/>
          <w:iCs/>
          <w:sz w:val="28"/>
          <w:szCs w:val="28"/>
          <w:lang w:val="en-GB"/>
        </w:rPr>
        <w:t>Br</w:t>
      </w:r>
      <w:bookmarkStart w:id="0" w:name="_GoBack"/>
      <w:bookmarkEnd w:id="0"/>
      <w:r w:rsidRPr="00077314">
        <w:rPr>
          <w:i/>
          <w:iCs/>
          <w:sz w:val="28"/>
          <w:szCs w:val="28"/>
          <w:lang w:val="en-GB"/>
        </w:rPr>
        <w:t>umărescu</w:t>
      </w:r>
      <w:proofErr w:type="spellEnd"/>
      <w:r w:rsidRPr="00077314">
        <w:rPr>
          <w:i/>
          <w:iCs/>
          <w:sz w:val="28"/>
          <w:szCs w:val="28"/>
          <w:lang w:val="en-GB"/>
        </w:rPr>
        <w:t xml:space="preserve"> v. Romania</w:t>
      </w:r>
      <w:r w:rsidR="00134BC6" w:rsidRPr="00077314">
        <w:rPr>
          <w:sz w:val="28"/>
          <w:szCs w:val="28"/>
          <w:lang w:val="en-GB"/>
        </w:rPr>
        <w:t xml:space="preserve">, no. </w:t>
      </w:r>
      <w:r w:rsidRPr="00077314">
        <w:rPr>
          <w:rFonts w:asciiTheme="majorBidi" w:hAnsiTheme="majorBidi" w:cstheme="majorBidi"/>
          <w:sz w:val="28"/>
          <w:szCs w:val="28"/>
          <w:lang w:val="en-GB"/>
        </w:rPr>
        <w:t>28342/95</w:t>
      </w:r>
      <w:r w:rsidR="00134BC6" w:rsidRPr="00077314">
        <w:rPr>
          <w:rFonts w:asciiTheme="majorBidi" w:hAnsiTheme="majorBidi" w:cstheme="majorBidi"/>
          <w:sz w:val="28"/>
          <w:szCs w:val="28"/>
          <w:lang w:val="en-GB"/>
        </w:rPr>
        <w:t>,</w:t>
      </w:r>
      <w:r w:rsidR="00E62514" w:rsidRPr="00077314">
        <w:rPr>
          <w:sz w:val="28"/>
          <w:szCs w:val="28"/>
          <w:lang w:val="en-GB"/>
        </w:rPr>
        <w:t xml:space="preserve"> </w:t>
      </w:r>
      <w:r w:rsidRPr="00077314">
        <w:rPr>
          <w:sz w:val="28"/>
          <w:szCs w:val="28"/>
          <w:lang w:val="en-GB"/>
        </w:rPr>
        <w:t>28.10.1999</w:t>
      </w:r>
      <w:r w:rsidR="00E62514" w:rsidRPr="00077314">
        <w:rPr>
          <w:sz w:val="28"/>
          <w:szCs w:val="28"/>
          <w:lang w:val="en-GB"/>
        </w:rPr>
        <w:t>;</w:t>
      </w:r>
    </w:p>
    <w:p w:rsidR="000B3183" w:rsidRPr="00077314" w:rsidRDefault="00701541" w:rsidP="00701541">
      <w:pPr>
        <w:pStyle w:val="a3"/>
        <w:numPr>
          <w:ilvl w:val="0"/>
          <w:numId w:val="1"/>
        </w:numPr>
        <w:ind w:right="-92"/>
        <w:jc w:val="both"/>
        <w:rPr>
          <w:sz w:val="28"/>
          <w:szCs w:val="28"/>
          <w:lang w:val="en-GB"/>
        </w:rPr>
      </w:pPr>
      <w:proofErr w:type="spellStart"/>
      <w:r w:rsidRPr="00077314">
        <w:rPr>
          <w:i/>
          <w:iCs/>
          <w:sz w:val="28"/>
          <w:szCs w:val="28"/>
          <w:lang w:val="en-GB"/>
        </w:rPr>
        <w:t>Kruslin</w:t>
      </w:r>
      <w:proofErr w:type="spellEnd"/>
      <w:r w:rsidRPr="00077314">
        <w:rPr>
          <w:i/>
          <w:iCs/>
          <w:sz w:val="28"/>
          <w:szCs w:val="28"/>
          <w:lang w:val="en-GB"/>
        </w:rPr>
        <w:t xml:space="preserve"> v. France</w:t>
      </w:r>
      <w:r w:rsidR="000B3183" w:rsidRPr="00077314">
        <w:rPr>
          <w:sz w:val="28"/>
          <w:szCs w:val="28"/>
          <w:lang w:val="en-GB"/>
        </w:rPr>
        <w:t xml:space="preserve">, no. </w:t>
      </w:r>
      <w:r w:rsidRPr="00077314">
        <w:rPr>
          <w:rFonts w:asciiTheme="majorBidi" w:hAnsiTheme="majorBidi" w:cstheme="majorBidi"/>
          <w:sz w:val="28"/>
          <w:szCs w:val="28"/>
          <w:lang w:val="en-GB"/>
        </w:rPr>
        <w:t>11801/85</w:t>
      </w:r>
      <w:r w:rsidR="000B3183" w:rsidRPr="00077314">
        <w:rPr>
          <w:rFonts w:asciiTheme="majorBidi" w:hAnsiTheme="majorBidi" w:cstheme="majorBidi"/>
          <w:sz w:val="28"/>
          <w:szCs w:val="28"/>
          <w:lang w:val="en-GB"/>
        </w:rPr>
        <w:t>,</w:t>
      </w:r>
      <w:r w:rsidR="000B3183" w:rsidRPr="00077314">
        <w:rPr>
          <w:sz w:val="28"/>
          <w:szCs w:val="28"/>
          <w:lang w:val="en-GB"/>
        </w:rPr>
        <w:t xml:space="preserve"> 2</w:t>
      </w:r>
      <w:r w:rsidRPr="00077314">
        <w:rPr>
          <w:sz w:val="28"/>
          <w:szCs w:val="28"/>
          <w:lang w:val="en-GB"/>
        </w:rPr>
        <w:t>4</w:t>
      </w:r>
      <w:r w:rsidR="000B3183" w:rsidRPr="00077314">
        <w:rPr>
          <w:sz w:val="28"/>
          <w:szCs w:val="28"/>
          <w:lang w:val="en-GB"/>
        </w:rPr>
        <w:t>.</w:t>
      </w:r>
      <w:r w:rsidRPr="00077314">
        <w:rPr>
          <w:sz w:val="28"/>
          <w:szCs w:val="28"/>
          <w:lang w:val="en-GB"/>
        </w:rPr>
        <w:t>0</w:t>
      </w:r>
      <w:r w:rsidR="001E3429">
        <w:rPr>
          <w:sz w:val="28"/>
          <w:szCs w:val="28"/>
          <w:lang w:val="en-GB"/>
        </w:rPr>
        <w:t>4</w:t>
      </w:r>
      <w:r w:rsidRPr="00077314">
        <w:rPr>
          <w:sz w:val="28"/>
          <w:szCs w:val="28"/>
          <w:lang w:val="en-GB"/>
        </w:rPr>
        <w:t>.1990</w:t>
      </w:r>
      <w:r w:rsidR="000B3183" w:rsidRPr="00077314">
        <w:rPr>
          <w:sz w:val="28"/>
          <w:szCs w:val="28"/>
          <w:lang w:val="en-GB"/>
        </w:rPr>
        <w:t>;</w:t>
      </w:r>
    </w:p>
    <w:p w:rsidR="00E62514" w:rsidRPr="00F34CDD" w:rsidRDefault="00701541" w:rsidP="00F34CDD">
      <w:pPr>
        <w:pStyle w:val="a3"/>
        <w:numPr>
          <w:ilvl w:val="0"/>
          <w:numId w:val="1"/>
        </w:numPr>
        <w:ind w:right="-92"/>
        <w:jc w:val="both"/>
        <w:rPr>
          <w:sz w:val="28"/>
          <w:szCs w:val="28"/>
          <w:lang w:val="en-GB"/>
        </w:rPr>
      </w:pPr>
      <w:r w:rsidRPr="00077314">
        <w:rPr>
          <w:i/>
          <w:iCs/>
          <w:sz w:val="28"/>
          <w:szCs w:val="28"/>
          <w:lang w:val="en-GB"/>
        </w:rPr>
        <w:t>Feldman v. Ukraine (№ 2)</w:t>
      </w:r>
      <w:r w:rsidR="00E62514" w:rsidRPr="00077314">
        <w:rPr>
          <w:sz w:val="28"/>
          <w:szCs w:val="28"/>
          <w:lang w:val="en-GB"/>
        </w:rPr>
        <w:t xml:space="preserve">, no. </w:t>
      </w:r>
      <w:r w:rsidRPr="00077314">
        <w:rPr>
          <w:rFonts w:asciiTheme="majorBidi" w:hAnsiTheme="majorBidi" w:cstheme="majorBidi"/>
          <w:sz w:val="28"/>
          <w:szCs w:val="28"/>
          <w:lang w:val="en-GB"/>
        </w:rPr>
        <w:t>42921/09</w:t>
      </w:r>
      <w:r w:rsidR="00E62514" w:rsidRPr="00077314">
        <w:rPr>
          <w:rFonts w:asciiTheme="majorBidi" w:hAnsiTheme="majorBidi" w:cstheme="majorBidi"/>
          <w:sz w:val="28"/>
          <w:szCs w:val="28"/>
          <w:lang w:val="en-GB"/>
        </w:rPr>
        <w:t>,</w:t>
      </w:r>
      <w:r w:rsidR="00E62514" w:rsidRPr="00077314">
        <w:rPr>
          <w:sz w:val="28"/>
          <w:szCs w:val="28"/>
          <w:lang w:val="en-GB"/>
        </w:rPr>
        <w:t xml:space="preserve"> </w:t>
      </w:r>
      <w:r w:rsidRPr="00077314">
        <w:rPr>
          <w:sz w:val="28"/>
          <w:szCs w:val="28"/>
          <w:lang w:val="en-GB"/>
        </w:rPr>
        <w:t>12</w:t>
      </w:r>
      <w:r w:rsidR="00E62514" w:rsidRPr="00077314">
        <w:rPr>
          <w:sz w:val="28"/>
          <w:szCs w:val="28"/>
          <w:lang w:val="en-GB"/>
        </w:rPr>
        <w:t>.0</w:t>
      </w:r>
      <w:r w:rsidRPr="00077314">
        <w:rPr>
          <w:sz w:val="28"/>
          <w:szCs w:val="28"/>
          <w:lang w:val="en-GB"/>
        </w:rPr>
        <w:t>1</w:t>
      </w:r>
      <w:r w:rsidR="00E62514" w:rsidRPr="00077314">
        <w:rPr>
          <w:sz w:val="28"/>
          <w:szCs w:val="28"/>
          <w:lang w:val="en-GB"/>
        </w:rPr>
        <w:t>.20</w:t>
      </w:r>
      <w:r w:rsidRPr="00077314">
        <w:rPr>
          <w:sz w:val="28"/>
          <w:szCs w:val="28"/>
          <w:lang w:val="en-GB"/>
        </w:rPr>
        <w:t>12</w:t>
      </w:r>
      <w:r w:rsidR="00F34CDD" w:rsidRPr="00077314">
        <w:rPr>
          <w:sz w:val="28"/>
          <w:szCs w:val="28"/>
          <w:lang w:val="en-GB"/>
        </w:rPr>
        <w:t>;</w:t>
      </w:r>
    </w:p>
    <w:p w:rsidR="00E62514" w:rsidRPr="00077314" w:rsidRDefault="00C252E7" w:rsidP="00C252E7">
      <w:pPr>
        <w:pStyle w:val="a3"/>
        <w:numPr>
          <w:ilvl w:val="0"/>
          <w:numId w:val="1"/>
        </w:numPr>
        <w:ind w:right="-92"/>
        <w:jc w:val="both"/>
        <w:rPr>
          <w:sz w:val="28"/>
          <w:szCs w:val="28"/>
          <w:lang w:val="en-GB"/>
        </w:rPr>
      </w:pPr>
      <w:r w:rsidRPr="00077314">
        <w:rPr>
          <w:sz w:val="28"/>
          <w:szCs w:val="28"/>
          <w:lang w:val="en-GB"/>
        </w:rPr>
        <w:t xml:space="preserve">Decision of the European Court of Human Rights on the admissibility of applications in the case of </w:t>
      </w:r>
      <w:r w:rsidRPr="00077314">
        <w:rPr>
          <w:i/>
          <w:sz w:val="28"/>
          <w:szCs w:val="28"/>
          <w:lang w:val="en-GB"/>
        </w:rPr>
        <w:t xml:space="preserve">Von </w:t>
      </w:r>
      <w:proofErr w:type="spellStart"/>
      <w:r w:rsidRPr="00077314">
        <w:rPr>
          <w:i/>
          <w:sz w:val="28"/>
          <w:szCs w:val="28"/>
          <w:lang w:val="en-GB"/>
        </w:rPr>
        <w:t>Maltzan</w:t>
      </w:r>
      <w:proofErr w:type="spellEnd"/>
      <w:r w:rsidRPr="00077314">
        <w:rPr>
          <w:i/>
          <w:sz w:val="28"/>
          <w:szCs w:val="28"/>
          <w:lang w:val="en-GB"/>
        </w:rPr>
        <w:t xml:space="preserve"> and Others v. Germany</w:t>
      </w:r>
      <w:r w:rsidRPr="00077314">
        <w:rPr>
          <w:sz w:val="28"/>
          <w:szCs w:val="28"/>
          <w:lang w:val="en-GB"/>
        </w:rPr>
        <w:t xml:space="preserve"> dated March 2, 2005 (applications nos. 71916/01, 71917/01, 10260/02).</w:t>
      </w:r>
    </w:p>
    <w:p w:rsidR="00E62514" w:rsidRPr="00077314" w:rsidRDefault="00E62514" w:rsidP="00E62514">
      <w:pPr>
        <w:ind w:right="-92"/>
        <w:jc w:val="both"/>
        <w:rPr>
          <w:sz w:val="28"/>
          <w:szCs w:val="28"/>
          <w:lang w:val="en-GB"/>
        </w:rPr>
      </w:pPr>
    </w:p>
    <w:p w:rsidR="00DA092E" w:rsidRPr="00077314" w:rsidRDefault="00DA092E">
      <w:pPr>
        <w:rPr>
          <w:lang w:val="en-GB"/>
        </w:rPr>
      </w:pPr>
    </w:p>
    <w:sectPr w:rsidR="00DA092E" w:rsidRPr="00077314" w:rsidSect="002F3166">
      <w:headerReference w:type="default" r:id="rId7"/>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9B" w:rsidRDefault="009B62DB">
      <w:r>
        <w:separator/>
      </w:r>
    </w:p>
  </w:endnote>
  <w:endnote w:type="continuationSeparator" w:id="0">
    <w:p w:rsidR="0079049B" w:rsidRDefault="009B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9B" w:rsidRDefault="009B62DB">
      <w:r>
        <w:separator/>
      </w:r>
    </w:p>
  </w:footnote>
  <w:footnote w:type="continuationSeparator" w:id="0">
    <w:p w:rsidR="0079049B" w:rsidRDefault="009B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BA705B">
        <w:pPr>
          <w:pStyle w:val="a4"/>
          <w:jc w:val="right"/>
        </w:pPr>
        <w:r>
          <w:fldChar w:fldCharType="begin"/>
        </w:r>
        <w:r>
          <w:instrText>PAGE   \* MERGEFORMAT</w:instrText>
        </w:r>
        <w:r>
          <w:fldChar w:fldCharType="separate"/>
        </w:r>
        <w:r w:rsidR="00F34CDD">
          <w:rPr>
            <w:noProof/>
          </w:rPr>
          <w:t>2</w:t>
        </w:r>
        <w:r>
          <w:fldChar w:fldCharType="end"/>
        </w:r>
      </w:p>
    </w:sdtContent>
  </w:sdt>
  <w:p w:rsidR="0036774E" w:rsidRDefault="00F34C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6"/>
    <w:rsid w:val="00001AE4"/>
    <w:rsid w:val="00033BEC"/>
    <w:rsid w:val="00077314"/>
    <w:rsid w:val="000B3183"/>
    <w:rsid w:val="000E05FB"/>
    <w:rsid w:val="000E627A"/>
    <w:rsid w:val="00115101"/>
    <w:rsid w:val="00134BC6"/>
    <w:rsid w:val="001738B6"/>
    <w:rsid w:val="0018029F"/>
    <w:rsid w:val="001E3429"/>
    <w:rsid w:val="002B00B9"/>
    <w:rsid w:val="002D2EE0"/>
    <w:rsid w:val="00380242"/>
    <w:rsid w:val="003C38CC"/>
    <w:rsid w:val="00400B47"/>
    <w:rsid w:val="00472D8E"/>
    <w:rsid w:val="00480398"/>
    <w:rsid w:val="00483A3E"/>
    <w:rsid w:val="004E3AD3"/>
    <w:rsid w:val="005A52BD"/>
    <w:rsid w:val="005E22D3"/>
    <w:rsid w:val="00601025"/>
    <w:rsid w:val="00663251"/>
    <w:rsid w:val="00667C86"/>
    <w:rsid w:val="00681D09"/>
    <w:rsid w:val="0069290C"/>
    <w:rsid w:val="006B0216"/>
    <w:rsid w:val="00701541"/>
    <w:rsid w:val="00771436"/>
    <w:rsid w:val="0079049B"/>
    <w:rsid w:val="007D71E9"/>
    <w:rsid w:val="00824A09"/>
    <w:rsid w:val="008C475E"/>
    <w:rsid w:val="009044EC"/>
    <w:rsid w:val="00941B93"/>
    <w:rsid w:val="00975F71"/>
    <w:rsid w:val="00986936"/>
    <w:rsid w:val="009B62DB"/>
    <w:rsid w:val="009E438B"/>
    <w:rsid w:val="00A00DD6"/>
    <w:rsid w:val="00A06753"/>
    <w:rsid w:val="00A50B32"/>
    <w:rsid w:val="00AA2D56"/>
    <w:rsid w:val="00AB2234"/>
    <w:rsid w:val="00AC40C0"/>
    <w:rsid w:val="00B7331F"/>
    <w:rsid w:val="00B85EFE"/>
    <w:rsid w:val="00BA705B"/>
    <w:rsid w:val="00BE43DD"/>
    <w:rsid w:val="00C252E7"/>
    <w:rsid w:val="00C666CC"/>
    <w:rsid w:val="00D259E6"/>
    <w:rsid w:val="00D265E5"/>
    <w:rsid w:val="00D32110"/>
    <w:rsid w:val="00DA092E"/>
    <w:rsid w:val="00DA0AFE"/>
    <w:rsid w:val="00E2136A"/>
    <w:rsid w:val="00E40692"/>
    <w:rsid w:val="00E46FDB"/>
    <w:rsid w:val="00E56889"/>
    <w:rsid w:val="00E62514"/>
    <w:rsid w:val="00E8293B"/>
    <w:rsid w:val="00EF34C5"/>
    <w:rsid w:val="00F34CDD"/>
    <w:rsid w:val="00FA4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7C65"/>
  <w15:chartTrackingRefBased/>
  <w15:docId w15:val="{44DC765B-BFC3-41B1-A412-6D68C81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BC6"/>
    <w:pPr>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3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134BC6"/>
    <w:rPr>
      <w:rFonts w:ascii="Courier New" w:eastAsia="Times New Roman" w:hAnsi="Courier New" w:cs="Courier New"/>
      <w:sz w:val="24"/>
      <w:szCs w:val="24"/>
      <w:lang w:eastAsia="uk-UA"/>
    </w:rPr>
  </w:style>
  <w:style w:type="paragraph" w:styleId="a3">
    <w:name w:val="List Paragraph"/>
    <w:basedOn w:val="a"/>
    <w:uiPriority w:val="34"/>
    <w:qFormat/>
    <w:rsid w:val="00134BC6"/>
    <w:pPr>
      <w:ind w:left="720"/>
      <w:contextualSpacing/>
    </w:pPr>
  </w:style>
  <w:style w:type="paragraph" w:styleId="a4">
    <w:name w:val="header"/>
    <w:basedOn w:val="a"/>
    <w:link w:val="a5"/>
    <w:uiPriority w:val="99"/>
    <w:unhideWhenUsed/>
    <w:rsid w:val="00134BC6"/>
    <w:pPr>
      <w:tabs>
        <w:tab w:val="center" w:pos="4677"/>
        <w:tab w:val="right" w:pos="9355"/>
      </w:tabs>
    </w:pPr>
  </w:style>
  <w:style w:type="character" w:customStyle="1" w:styleId="a5">
    <w:name w:val="Верхній колонтитул Знак"/>
    <w:basedOn w:val="a0"/>
    <w:link w:val="a4"/>
    <w:uiPriority w:val="99"/>
    <w:rsid w:val="00134BC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5194</Words>
  <Characters>2962</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Невідомський</dc:creator>
  <cp:keywords/>
  <dc:description/>
  <cp:lastModifiedBy>Максим А. Невідомський</cp:lastModifiedBy>
  <cp:revision>61</cp:revision>
  <dcterms:created xsi:type="dcterms:W3CDTF">2024-12-23T07:49:00Z</dcterms:created>
  <dcterms:modified xsi:type="dcterms:W3CDTF">2025-01-28T09:24:00Z</dcterms:modified>
</cp:coreProperties>
</file>