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2BE" w:rsidRDefault="009702BE" w:rsidP="009702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02BE" w:rsidRDefault="009702BE" w:rsidP="009702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02BE" w:rsidRDefault="009702BE" w:rsidP="009702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02BE" w:rsidRDefault="009702BE" w:rsidP="009702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02BE" w:rsidRDefault="009702BE" w:rsidP="009702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02BE" w:rsidRDefault="009702BE" w:rsidP="009702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02BE" w:rsidRDefault="009702BE" w:rsidP="009702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D1CC7" w:rsidRPr="009702BE" w:rsidRDefault="00826250" w:rsidP="009702BE">
      <w:pPr>
        <w:tabs>
          <w:tab w:val="center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70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 </w:t>
      </w:r>
      <w:r w:rsidR="00843021" w:rsidRPr="00970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відмову у відкритті</w:t>
      </w:r>
      <w:r w:rsidRPr="00970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конституційного провадження у справі за конституційною скаргою </w:t>
      </w:r>
      <w:r w:rsidR="00E059C6" w:rsidRPr="00970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Сай Ольги Василівни</w:t>
      </w:r>
      <w:r w:rsidRPr="00970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щодо відповідності Конституції України (конституційності) </w:t>
      </w:r>
      <w:r w:rsidR="00E059C6" w:rsidRPr="00970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окремого припису частини другої </w:t>
      </w:r>
      <w:r w:rsidR="00970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970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E059C6" w:rsidRPr="00970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статті 365 Цивільного кодексу України</w:t>
      </w:r>
    </w:p>
    <w:p w:rsidR="00D81AFB" w:rsidRPr="009702BE" w:rsidRDefault="00D81AFB" w:rsidP="00970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702BE" w:rsidRDefault="00422BF5" w:rsidP="009702B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>К и ї в</w:t>
      </w:r>
      <w:r w:rsid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E604C"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Справа № </w:t>
      </w:r>
      <w:r w:rsidR="00BF2168"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>3-</w:t>
      </w:r>
      <w:r w:rsidR="00E059C6"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="00AB3CCA"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>/2025</w:t>
      </w:r>
      <w:r w:rsidR="00BF2168"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>(1</w:t>
      </w:r>
      <w:r w:rsidR="00E059C6"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="00BF2168"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>/25)</w:t>
      </w:r>
    </w:p>
    <w:p w:rsidR="00422BF5" w:rsidRPr="009702BE" w:rsidRDefault="009702BE" w:rsidP="009702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735897" w:rsidRPr="00970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59C6" w:rsidRPr="00970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червня</w:t>
      </w:r>
      <w:r w:rsidR="00640522" w:rsidRPr="00970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2025</w:t>
      </w:r>
      <w:r w:rsidR="00422BF5" w:rsidRPr="00970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року</w:t>
      </w:r>
    </w:p>
    <w:p w:rsidR="00422BF5" w:rsidRPr="009702BE" w:rsidRDefault="00422BF5" w:rsidP="009702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C5190"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>-1(ІІ)/202</w:t>
      </w:r>
      <w:r w:rsidR="00D81AFB"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422BF5" w:rsidRPr="009702BE" w:rsidRDefault="00422BF5" w:rsidP="009702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BF5" w:rsidRPr="009702BE" w:rsidRDefault="00422BF5" w:rsidP="009702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Перша колегія суддів Другого</w:t>
      </w:r>
      <w:r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сенату </w:t>
      </w:r>
      <w:r w:rsidRPr="00970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Конституційного Суду України у складі:</w:t>
      </w:r>
    </w:p>
    <w:p w:rsidR="00422BF5" w:rsidRPr="009702BE" w:rsidRDefault="00422BF5" w:rsidP="009702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2BF5" w:rsidRPr="009702BE" w:rsidRDefault="00422BF5" w:rsidP="009702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Юровська Галина Валентинівна (голова засідання, доповідач)‚</w:t>
      </w:r>
    </w:p>
    <w:p w:rsidR="00153CCA" w:rsidRPr="009702BE" w:rsidRDefault="00153CCA" w:rsidP="009702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Городовенко Віктор Валентинович,</w:t>
      </w:r>
    </w:p>
    <w:p w:rsidR="00422BF5" w:rsidRPr="009702BE" w:rsidRDefault="00640522" w:rsidP="009702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Первомайський Олег Олексійович</w:t>
      </w:r>
      <w:r w:rsidR="00422BF5" w:rsidRPr="00970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422BF5" w:rsidRPr="009702BE" w:rsidRDefault="00422BF5" w:rsidP="009702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250" w:rsidRPr="009702BE" w:rsidRDefault="00826250" w:rsidP="009702B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70607"/>
          <w:sz w:val="28"/>
          <w:szCs w:val="28"/>
        </w:rPr>
      </w:pPr>
      <w:r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="00943C31" w:rsidRPr="009702BE">
        <w:rPr>
          <w:rFonts w:ascii="Times New Roman" w:hAnsi="Times New Roman" w:cs="Times New Roman"/>
          <w:bCs/>
          <w:color w:val="070607"/>
          <w:sz w:val="28"/>
          <w:szCs w:val="28"/>
        </w:rPr>
        <w:t>Сай Ольги Василівни щодо відповідності Конституції України (конституційності) окремого припису частини другої статті 365 Цивільного кодексу України</w:t>
      </w:r>
      <w:r w:rsidRPr="009702BE">
        <w:rPr>
          <w:rFonts w:ascii="Times New Roman" w:hAnsi="Times New Roman" w:cs="Times New Roman"/>
          <w:bCs/>
          <w:color w:val="070607"/>
          <w:sz w:val="28"/>
          <w:szCs w:val="28"/>
        </w:rPr>
        <w:t>.</w:t>
      </w:r>
    </w:p>
    <w:p w:rsidR="006B5633" w:rsidRPr="009702BE" w:rsidRDefault="006B5633" w:rsidP="009702B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2BF5" w:rsidRPr="009702BE" w:rsidRDefault="00422BF5" w:rsidP="009702B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Заслухавши суддю-доповідача Юровську Г.В. та дослідивши матеріали справи, Перша колегія суддів Другого сенату Конституційного Суду України</w:t>
      </w:r>
    </w:p>
    <w:p w:rsidR="00A4251B" w:rsidRPr="009702BE" w:rsidRDefault="00A4251B" w:rsidP="009702BE">
      <w:pPr>
        <w:keepNext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22BF5" w:rsidRPr="009702BE" w:rsidRDefault="00422BF5" w:rsidP="009702BE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0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 с т а н о в и л а:</w:t>
      </w:r>
    </w:p>
    <w:p w:rsidR="00422BF5" w:rsidRPr="009702BE" w:rsidRDefault="00422BF5" w:rsidP="009702B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6250" w:rsidRPr="009702BE" w:rsidRDefault="00826250" w:rsidP="009702B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70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Конституційного Суду України зверну</w:t>
      </w:r>
      <w:r w:rsidR="00943C31"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="00943C31"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 О.В.</w:t>
      </w:r>
      <w:r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із клопотанням перевірити на відповідність </w:t>
      </w:r>
      <w:r w:rsidR="00943C31"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частинам четвертій, п’ятій статті 41, частині першій </w:t>
      </w:r>
      <w:r w:rsidR="00892ABC"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статті 55 </w:t>
      </w:r>
      <w:r w:rsidR="00AB3CCA"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взаємозв’язку </w:t>
      </w:r>
      <w:r w:rsidR="00AB06BE"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частиною першою статті 8, </w:t>
      </w:r>
      <w:r w:rsidR="00943C31"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AB06BE"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43C31"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частини другої статті 129 </w:t>
      </w:r>
      <w:r w:rsidR="00873753" w:rsidRPr="009702BE">
        <w:rPr>
          <w:rFonts w:ascii="Times New Roman" w:eastAsia="Calibri" w:hAnsi="Times New Roman" w:cs="Times New Roman"/>
          <w:sz w:val="28"/>
          <w:szCs w:val="28"/>
        </w:rPr>
        <w:t>Конституції У</w:t>
      </w:r>
      <w:r w:rsidR="00FC4283" w:rsidRPr="009702BE">
        <w:rPr>
          <w:rFonts w:ascii="Times New Roman" w:eastAsia="Calibri" w:hAnsi="Times New Roman" w:cs="Times New Roman"/>
          <w:sz w:val="28"/>
          <w:szCs w:val="28"/>
        </w:rPr>
        <w:t xml:space="preserve">країни (конституційність) </w:t>
      </w:r>
      <w:r w:rsidR="00AB06BE" w:rsidRPr="009702BE">
        <w:rPr>
          <w:rFonts w:ascii="Times New Roman" w:eastAsia="Calibri" w:hAnsi="Times New Roman" w:cs="Times New Roman"/>
          <w:sz w:val="28"/>
          <w:szCs w:val="28"/>
        </w:rPr>
        <w:t>окрем</w:t>
      </w:r>
      <w:r w:rsidR="00E3301B" w:rsidRPr="009702BE">
        <w:rPr>
          <w:rFonts w:ascii="Times New Roman" w:eastAsia="Calibri" w:hAnsi="Times New Roman" w:cs="Times New Roman"/>
          <w:sz w:val="28"/>
          <w:szCs w:val="28"/>
        </w:rPr>
        <w:t>и</w:t>
      </w:r>
      <w:r w:rsidR="00AB3CCA" w:rsidRPr="009702BE">
        <w:rPr>
          <w:rFonts w:ascii="Times New Roman" w:eastAsia="Calibri" w:hAnsi="Times New Roman" w:cs="Times New Roman"/>
          <w:sz w:val="28"/>
          <w:szCs w:val="28"/>
        </w:rPr>
        <w:t>й</w:t>
      </w:r>
      <w:r w:rsidR="009702BE">
        <w:rPr>
          <w:rFonts w:ascii="Times New Roman" w:eastAsia="Calibri" w:hAnsi="Times New Roman" w:cs="Times New Roman"/>
          <w:sz w:val="28"/>
          <w:szCs w:val="28"/>
        </w:rPr>
        <w:t xml:space="preserve"> припис</w:t>
      </w:r>
      <w:r w:rsidR="009702BE">
        <w:rPr>
          <w:rFonts w:ascii="Times New Roman" w:eastAsia="Calibri" w:hAnsi="Times New Roman" w:cs="Times New Roman"/>
          <w:sz w:val="28"/>
          <w:szCs w:val="28"/>
        </w:rPr>
        <w:br/>
      </w:r>
      <w:r w:rsidR="00AB06BE" w:rsidRPr="009702BE">
        <w:rPr>
          <w:rFonts w:ascii="Times New Roman" w:eastAsia="Calibri" w:hAnsi="Times New Roman" w:cs="Times New Roman"/>
          <w:sz w:val="28"/>
          <w:szCs w:val="28"/>
        </w:rPr>
        <w:t xml:space="preserve">частини другої статті 365 Цивільного кодексу України (далі – Кодекс), а саме: </w:t>
      </w:r>
      <w:r w:rsidR="00AB06BE" w:rsidRPr="009702B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„за умови попереднього </w:t>
      </w:r>
      <w:r w:rsidR="00AB06BE" w:rsidRPr="009702BE">
        <w:rPr>
          <w:rFonts w:ascii="Times New Roman" w:eastAsia="Calibri" w:hAnsi="Times New Roman" w:cs="Times New Roman"/>
          <w:bCs/>
          <w:sz w:val="28"/>
          <w:szCs w:val="28"/>
        </w:rPr>
        <w:t>внесення позивачем вартості цієї частки на депозитний рахунок суду“.</w:t>
      </w:r>
    </w:p>
    <w:p w:rsidR="00911E17" w:rsidRPr="009702BE" w:rsidRDefault="00165117" w:rsidP="009702B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702BE">
        <w:rPr>
          <w:rFonts w:ascii="Times New Roman" w:eastAsia="Calibri" w:hAnsi="Times New Roman" w:cs="Times New Roman"/>
          <w:bCs/>
          <w:sz w:val="28"/>
          <w:szCs w:val="28"/>
        </w:rPr>
        <w:t xml:space="preserve">Частиною другою статті </w:t>
      </w:r>
      <w:r w:rsidR="00AB06BE" w:rsidRPr="009702BE">
        <w:rPr>
          <w:rFonts w:ascii="Times New Roman" w:eastAsia="Calibri" w:hAnsi="Times New Roman" w:cs="Times New Roman"/>
          <w:bCs/>
          <w:sz w:val="28"/>
          <w:szCs w:val="28"/>
        </w:rPr>
        <w:t>365</w:t>
      </w:r>
      <w:r w:rsidR="00911E17" w:rsidRPr="009702B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93C9B" w:rsidRPr="009702BE">
        <w:rPr>
          <w:rFonts w:ascii="Times New Roman" w:eastAsia="Calibri" w:hAnsi="Times New Roman" w:cs="Times New Roman"/>
          <w:bCs/>
          <w:sz w:val="28"/>
          <w:szCs w:val="28"/>
        </w:rPr>
        <w:t>Кодексу</w:t>
      </w:r>
      <w:r w:rsidR="00911E17" w:rsidRPr="009702B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93C9B" w:rsidRPr="009702BE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="00911E17" w:rsidRPr="009702BE">
        <w:rPr>
          <w:rFonts w:ascii="Times New Roman" w:eastAsia="Calibri" w:hAnsi="Times New Roman" w:cs="Times New Roman"/>
          <w:bCs/>
          <w:sz w:val="28"/>
          <w:szCs w:val="28"/>
        </w:rPr>
        <w:t>становлено, що</w:t>
      </w:r>
      <w:r w:rsidR="00AB3CCA" w:rsidRPr="009702B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D3036" w:rsidRPr="009702BE">
        <w:rPr>
          <w:rFonts w:ascii="Times New Roman" w:eastAsia="Calibri" w:hAnsi="Times New Roman" w:cs="Times New Roman"/>
          <w:bCs/>
          <w:sz w:val="28"/>
          <w:szCs w:val="28"/>
        </w:rPr>
        <w:t>„</w:t>
      </w:r>
      <w:r w:rsidR="005C5E9A" w:rsidRPr="009702BE"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="00AB06BE" w:rsidRPr="009702BE">
        <w:rPr>
          <w:rFonts w:ascii="Times New Roman" w:eastAsia="Calibri" w:hAnsi="Times New Roman" w:cs="Times New Roman"/>
          <w:bCs/>
          <w:sz w:val="28"/>
          <w:szCs w:val="28"/>
        </w:rPr>
        <w:t>уд постановляє рішення про припинення права особи на частку у спільному майні за умови попереднього внесення позивачем вартості цієї частки на депозитний рахунок суду</w:t>
      </w:r>
      <w:r w:rsidR="00BD3036" w:rsidRPr="009702BE">
        <w:rPr>
          <w:rFonts w:ascii="Times New Roman" w:eastAsia="Calibri" w:hAnsi="Times New Roman" w:cs="Times New Roman"/>
          <w:bCs/>
          <w:sz w:val="28"/>
          <w:szCs w:val="28"/>
        </w:rPr>
        <w:t>“</w:t>
      </w:r>
      <w:r w:rsidR="00911E17" w:rsidRPr="009702BE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613D1C" w:rsidRPr="009702BE" w:rsidRDefault="00613D1C" w:rsidP="009702B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2BF5" w:rsidRPr="009702BE" w:rsidRDefault="00422BF5" w:rsidP="009702B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>2. Зі змісту конституційної скарги та долучених до неї матеріалів убачається таке.</w:t>
      </w:r>
    </w:p>
    <w:p w:rsidR="00582DDC" w:rsidRPr="009702BE" w:rsidRDefault="007B5333" w:rsidP="009702B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 О.В. була власницею 1/4 частки у праві спільної часткової власності на квартиру № 1 в будинку № 4 </w:t>
      </w:r>
      <w:r w:rsidR="00706DF7"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вул. Студентській у місті Львові. У 2020 році співвласниця квартири – Чапл</w:t>
      </w:r>
      <w:r w:rsidR="0001110A"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>іє</w:t>
      </w:r>
      <w:r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>нко Л.В.</w:t>
      </w:r>
      <w:r w:rsidR="00F92C81"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звернулася до </w:t>
      </w:r>
      <w:r w:rsidR="0001110A"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суду</w:t>
      </w:r>
      <w:r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із позовною заявою</w:t>
      </w:r>
      <w:r w:rsidR="00275055"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5055"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якій просила припинити право власності Сай О.В. на частку квартири. </w:t>
      </w:r>
      <w:r w:rsidR="00735897"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Личаківський районний суд міста Львова рішенням від 16 лютого </w:t>
      </w:r>
      <w:r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>2022 року</w:t>
      </w:r>
      <w:r w:rsidR="00735897"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визнав за Чаплієнко Л.В. право власності на частку квартири, яка належала </w:t>
      </w:r>
      <w:r w:rsidR="0001110A"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35897"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 О.В. на праві спільної </w:t>
      </w:r>
      <w:r w:rsidR="0001110A"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часткової </w:t>
      </w:r>
      <w:r w:rsidR="00735897"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r w:rsidR="00AB3CCA"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35897"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стягнув на користь останньої компенсаці</w:t>
      </w:r>
      <w:r w:rsidR="0001110A"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35897"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вартості частки квартири </w:t>
      </w:r>
      <w:r w:rsidR="00AB3CCA"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35897"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сумі 281</w:t>
      </w:r>
      <w:r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35897"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>023 грн, як</w:t>
      </w:r>
      <w:r w:rsidR="00AB3CCA"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35897"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згідно з банківськими квитанціями </w:t>
      </w:r>
      <w:r w:rsidR="00AB3CCA"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35897"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кціонерного товариства </w:t>
      </w:r>
      <w:r w:rsidR="00582DDC"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>„</w:t>
      </w:r>
      <w:r w:rsidR="00735897"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>Ощадбанк</w:t>
      </w:r>
      <w:r w:rsidR="00582DDC" w:rsidRPr="009702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“</w:t>
      </w:r>
      <w:r w:rsid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35897"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Чаплієнко Л.В. </w:t>
      </w:r>
      <w:r w:rsidR="00B72FAE"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перерахувала</w:t>
      </w:r>
      <w:r w:rsidR="00AB3CCA"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897"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82DDC"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897"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окремих рахунки Територіального управління Державної судової</w:t>
      </w:r>
      <w:r w:rsidR="00582DDC"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897"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адміністрації Укр</w:t>
      </w:r>
      <w:r w:rsidR="00892ABC"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>аїни у Львівській області.</w:t>
      </w:r>
    </w:p>
    <w:p w:rsidR="00582DDC" w:rsidRPr="009702BE" w:rsidRDefault="00AB3CCA" w:rsidP="009702B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82DDC"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казане рішення суду першої інстанції </w:t>
      </w:r>
      <w:r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>Львівський</w:t>
      </w:r>
      <w:r w:rsidR="00582DDC"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апеляційн</w:t>
      </w:r>
      <w:r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582DDC"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 </w:t>
      </w:r>
      <w:r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залишив без змін постановою </w:t>
      </w:r>
      <w:r w:rsidR="00582DDC"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29 серпня 2022 року. Касаційни</w:t>
      </w:r>
      <w:r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582DDC"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цивільни</w:t>
      </w:r>
      <w:r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>й суд</w:t>
      </w:r>
      <w:r w:rsidR="00582DDC"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складі Верховного Суду ухвалою від 3 жовтня 2022 року відмов</w:t>
      </w:r>
      <w:r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>ив</w:t>
      </w:r>
      <w:r w:rsidR="00582DDC"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 О.В. </w:t>
      </w:r>
      <w:r w:rsidR="00582DDC"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>у відкритті касаційного провадження</w:t>
      </w:r>
      <w:r w:rsidR="0001110A"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касаційною скаргою на рішення Личаківського районного суду міста Львова від 16 лютого 2022 року та постанову Львівського апеляційного суду від 29 серпня 2022 року</w:t>
      </w:r>
      <w:r w:rsidR="00582DDC"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2DDC" w:rsidRPr="009702BE" w:rsidRDefault="00582DDC" w:rsidP="009702B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вересні 2023 року Сай О.В. звернулася до суду із заявою про перегляд судової справи за нововиявленими обставинами, посилаючись на те, що кошти, стягнуті на її користь </w:t>
      </w:r>
      <w:r w:rsidR="00871D61"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Чаплієнко Л.В., не були їй виплачені </w:t>
      </w:r>
      <w:r w:rsidR="00871D61"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повному обсязі протягом трирічного</w:t>
      </w:r>
      <w:r w:rsidR="00871D61"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строку; вона отримала лише 187</w:t>
      </w:r>
      <w:r w:rsidR="00F92C81"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523 грн, а решту коштів у </w:t>
      </w:r>
      <w:r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сумі 93</w:t>
      </w:r>
      <w:r w:rsidR="00F92C81"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500 грн не отримала </w:t>
      </w:r>
      <w:r w:rsidR="00871D61"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те,</w:t>
      </w:r>
      <w:r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 2 січня 2020 року рахунок отримувача, на який здійснювався перерахунок цієї суми, був закритий</w:t>
      </w:r>
      <w:r w:rsidR="000C45E2"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71D61"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 О.В.</w:t>
      </w:r>
      <w:r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наголосила, що невнесення вартості належної їй частки на депозитний рахунок суду є істотною обставиною, яка існувала на час розгляду справи, однак нікому не була відома, окрім </w:t>
      </w:r>
      <w:r w:rsidR="005C5E9A"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>Чаплієнко Л.В.</w:t>
      </w:r>
      <w:r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>, яка не лише не виконал</w:t>
      </w:r>
      <w:r w:rsidR="00123CD4"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покладеного на неї обов’язку,</w:t>
      </w:r>
      <w:r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 й ввела суд в оману</w:t>
      </w:r>
      <w:r w:rsidR="00123CD4"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5333" w:rsidRPr="009702BE" w:rsidRDefault="007B5333" w:rsidP="00F546AA">
      <w:pPr>
        <w:spacing w:after="0" w:line="37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думку Сай О.В., </w:t>
      </w:r>
      <w:r w:rsidR="0001110A"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</w:t>
      </w:r>
      <w:r w:rsidR="00275055"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>ою</w:t>
      </w:r>
      <w:r w:rsidR="0001110A"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</w:t>
      </w:r>
      <w:r w:rsidR="00275055"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>ою</w:t>
      </w:r>
      <w:r w:rsidR="0001110A"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статті 365</w:t>
      </w:r>
      <w:r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Кодексу, яка застосована в остаточному судовому рішенні</w:t>
      </w:r>
      <w:r w:rsidR="0001110A"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її справі</w:t>
      </w:r>
      <w:r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06DF7"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зокрема</w:t>
      </w:r>
      <w:r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10A"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окремим приписом </w:t>
      </w:r>
      <w:r w:rsidR="0001110A" w:rsidRPr="009702BE">
        <w:rPr>
          <w:rFonts w:ascii="Times New Roman" w:eastAsia="Calibri" w:hAnsi="Times New Roman" w:cs="Times New Roman"/>
          <w:sz w:val="28"/>
          <w:szCs w:val="28"/>
        </w:rPr>
        <w:t xml:space="preserve">„за умови попереднього </w:t>
      </w:r>
      <w:r w:rsidR="0001110A" w:rsidRPr="009702BE">
        <w:rPr>
          <w:rFonts w:ascii="Times New Roman" w:eastAsia="Calibri" w:hAnsi="Times New Roman" w:cs="Times New Roman"/>
          <w:bCs/>
          <w:sz w:val="28"/>
          <w:szCs w:val="28"/>
        </w:rPr>
        <w:t>внесення позивачем вартості цієї частки на депозитний рахунок суду“</w:t>
      </w:r>
      <w:r w:rsidR="00956797" w:rsidRPr="009702BE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гарант</w:t>
      </w:r>
      <w:r w:rsidR="0001110A"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="0001110A"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що кошти </w:t>
      </w:r>
      <w:r w:rsidR="00706DF7"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компенсації </w:t>
      </w:r>
      <w:r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будуть зарах</w:t>
      </w:r>
      <w:r w:rsidR="0001110A"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овані на банківський рахунок і</w:t>
      </w:r>
      <w:r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797"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особа</w:t>
      </w:r>
      <w:r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зможе їх отримати</w:t>
      </w:r>
      <w:r w:rsidR="0001110A"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10A"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актичне отримання коштів залежить </w:t>
      </w:r>
      <w:r w:rsidR="00706DF7"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дій </w:t>
      </w:r>
      <w:r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тільки </w:t>
      </w:r>
      <w:r w:rsidR="00706DF7"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позивача, а й</w:t>
      </w:r>
      <w:r w:rsidR="0001110A"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банку. Сай О.В. </w:t>
      </w:r>
      <w:r w:rsidR="0001110A"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вважає, що </w:t>
      </w:r>
      <w:r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відсутність </w:t>
      </w:r>
      <w:r w:rsidR="0001110A"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такої</w:t>
      </w:r>
      <w:r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гарантії зумовлює непропорційн</w:t>
      </w:r>
      <w:r w:rsidR="00706DF7"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втручання у право власності</w:t>
      </w:r>
      <w:r w:rsidR="00275055"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особа </w:t>
      </w:r>
      <w:r w:rsidR="00956797"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рішенням суду </w:t>
      </w:r>
      <w:r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втрачає своє право власності, </w:t>
      </w:r>
      <w:r w:rsidR="00956797"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</w:t>
      </w:r>
      <w:r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законодавство не передбачає</w:t>
      </w:r>
      <w:r w:rsidR="00956797"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що кошти компенсації вартості частки обов’язково </w:t>
      </w:r>
      <w:r w:rsidR="00F546AA"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будуть </w:t>
      </w:r>
      <w:r w:rsidR="00956797"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перераховані.</w:t>
      </w:r>
    </w:p>
    <w:p w:rsidR="008E4C93" w:rsidRPr="009702BE" w:rsidRDefault="00FF12ED" w:rsidP="00F546AA">
      <w:pPr>
        <w:spacing w:after="0" w:line="37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підтвердження своєї позиції Сай О.В. посилається на окремі приписи Конституції України, рішення Конституційного Суду України, Перший протокол до Конвенції про захист прав людини і основоположних свобод </w:t>
      </w:r>
      <w:r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1950 року, рішення Європейського суду з прав людини</w:t>
      </w:r>
      <w:r w:rsidR="00E955BC"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Кодекс, а також на судові рішення у своїй справі.</w:t>
      </w:r>
    </w:p>
    <w:p w:rsidR="00FF12ED" w:rsidRPr="009702BE" w:rsidRDefault="00FF12ED" w:rsidP="009702B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4C93" w:rsidRPr="009702BE" w:rsidRDefault="008E4C93" w:rsidP="00F546AA">
      <w:pPr>
        <w:spacing w:after="0" w:line="372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Розв’язуючи питання щодо відкриття конституційного провадження у справі, Перша колегія суддів Другого сенату Конституційного Суду України виходить із такого.</w:t>
      </w:r>
    </w:p>
    <w:p w:rsidR="00E955BC" w:rsidRPr="009702BE" w:rsidRDefault="00227FFC" w:rsidP="009702B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Закону </w:t>
      </w:r>
      <w:r w:rsidR="00E955BC" w:rsidRPr="00970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України „Про Конституційний Суд України“ </w:t>
      </w:r>
      <w:r w:rsidRPr="00970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конституційн</w:t>
      </w:r>
      <w:r w:rsidR="00E955BC" w:rsidRPr="00970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70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скар</w:t>
      </w:r>
      <w:r w:rsidR="00E955BC" w:rsidRPr="00970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</w:t>
      </w:r>
      <w:r w:rsidRPr="00970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55BC" w:rsidRPr="00970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має містити </w:t>
      </w:r>
      <w:r w:rsidRPr="00970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обґрунтування тверджень щодо неконституційності закону України (його окремих приписів) із зазначенням того, яке з гарантованих Конституцією України прав людини, на думку суб</w:t>
      </w:r>
      <w:r w:rsidR="00B9701F" w:rsidRPr="00970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</w:t>
      </w:r>
      <w:r w:rsidRPr="00970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єкта права на конституційну скаргу, зазнало порушенн</w:t>
      </w:r>
      <w:r w:rsidR="00B9701F" w:rsidRPr="00970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внаслідок застосування закону</w:t>
      </w:r>
      <w:r w:rsidRPr="00970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701F" w:rsidRPr="00970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(пункт 6 частини другої статті 55);</w:t>
      </w:r>
      <w:r w:rsidR="00F546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B9701F" w:rsidRPr="009702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</w:t>
      </w:r>
      <w:r w:rsidR="00B9701F" w:rsidRPr="00970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онституційна скарга </w:t>
      </w:r>
      <w:r w:rsidR="005C5E9A" w:rsidRPr="00970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r w:rsidR="00B9701F" w:rsidRPr="00970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прийнятною за умов її відповідності вимогам, передбаченим</w:t>
      </w:r>
      <w:r w:rsidR="00892ABC" w:rsidRPr="00970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9701F" w:rsidRPr="00970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зокрема</w:t>
      </w:r>
      <w:r w:rsidR="00892ABC" w:rsidRPr="00970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70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701F" w:rsidRPr="00970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статтею 55</w:t>
      </w:r>
      <w:r w:rsidR="00970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701F" w:rsidRPr="00970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цього закону</w:t>
      </w:r>
      <w:r w:rsidR="00970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9701F" w:rsidRPr="00970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(абзац перший частини першої статті 77).</w:t>
      </w:r>
    </w:p>
    <w:p w:rsidR="00227FFC" w:rsidRPr="009702BE" w:rsidRDefault="00227FFC" w:rsidP="009702B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Стверджуючи про невідповідність оспорюваного закону України (його окремих приписів) Основному Закону України, суб</w:t>
      </w:r>
      <w:r w:rsidR="00A66F82" w:rsidRPr="00970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</w:t>
      </w:r>
      <w:r w:rsidRPr="00970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єкт права на конституційну скаргу має навести аргументи, які свідчили </w:t>
      </w:r>
      <w:r w:rsidR="00000E6C" w:rsidRPr="00970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 </w:t>
      </w:r>
      <w:r w:rsidRPr="00970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обґрунтованість змісту </w:t>
      </w:r>
      <w:r w:rsidR="005C5E9A" w:rsidRPr="00970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970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вимог конституційної скарги.</w:t>
      </w:r>
    </w:p>
    <w:p w:rsidR="008F2E26" w:rsidRPr="009702BE" w:rsidRDefault="00B72FAE" w:rsidP="009702B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а</w:t>
      </w:r>
      <w:r w:rsidR="00E73073" w:rsidRPr="00970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наліз</w:t>
      </w:r>
      <w:r w:rsidRPr="00970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E73073" w:rsidRPr="00970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конституційної скарги та </w:t>
      </w:r>
      <w:r w:rsidR="00FC4283" w:rsidRPr="00970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долучених</w:t>
      </w:r>
      <w:r w:rsidR="00EE1E54" w:rsidRPr="00970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неї документів </w:t>
      </w:r>
      <w:r w:rsidR="00000E6C" w:rsidRPr="00970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матеріалів </w:t>
      </w:r>
      <w:r w:rsidRPr="00970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випливає</w:t>
      </w:r>
      <w:r w:rsidR="00EE1E54" w:rsidRPr="00970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що</w:t>
      </w:r>
      <w:r w:rsidR="008F2E26" w:rsidRPr="00970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Сай О.В. </w:t>
      </w:r>
      <w:r w:rsidR="00FC5190" w:rsidRPr="00970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твердить</w:t>
      </w:r>
      <w:r w:rsidR="00000E6C" w:rsidRPr="00970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="008F2E26" w:rsidRPr="00970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неконституційність </w:t>
      </w:r>
      <w:r w:rsidR="00000E6C" w:rsidRPr="00970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окремого</w:t>
      </w:r>
      <w:r w:rsidR="008F2E26" w:rsidRPr="00970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припису частини другої статті 365 Кодексу</w:t>
      </w:r>
      <w:r w:rsidR="00F54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звʼязку з</w:t>
      </w:r>
      <w:r w:rsidR="008F2E26" w:rsidRPr="00970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невиплатою їй повної вартості частки квартири, право на яку примусово припинено </w:t>
      </w:r>
      <w:r w:rsidRPr="00970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згідно </w:t>
      </w:r>
      <w:r w:rsidR="00F92C81" w:rsidRPr="00970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 w:rsidRPr="00970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 </w:t>
      </w:r>
      <w:r w:rsidR="00000E6C" w:rsidRPr="00970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судовим </w:t>
      </w:r>
      <w:r w:rsidR="008F2E26" w:rsidRPr="00970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рішенням, та висловлює своє бачення того, як мають бути врегульовані відповідні правовідносини.</w:t>
      </w:r>
    </w:p>
    <w:p w:rsidR="000C45E2" w:rsidRPr="009702BE" w:rsidRDefault="008F2E26" w:rsidP="009702B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Наведене дає підстави вважати, що </w:t>
      </w:r>
      <w:r w:rsidR="00F11899"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 О.В.</w:t>
      </w:r>
      <w:r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="00FC5190"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обґрунтувала</w:t>
      </w:r>
      <w:r w:rsidR="00F92C81"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>, що окремий припис частини другої статті 365 Кодексу</w:t>
      </w:r>
      <w:r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2C81"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є </w:t>
      </w:r>
      <w:r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неконституційн</w:t>
      </w:r>
      <w:r w:rsidR="00F92C81"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000E6C"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лише</w:t>
      </w:r>
      <w:r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висловила незгоду з </w:t>
      </w:r>
      <w:r w:rsidR="00000E6C"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нормативним</w:t>
      </w:r>
      <w:r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регулюванням зазначених у </w:t>
      </w:r>
      <w:r w:rsidR="00000E6C"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конституційній скарзі</w:t>
      </w:r>
      <w:r w:rsidRPr="0097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правовідносин. </w:t>
      </w:r>
    </w:p>
    <w:p w:rsidR="00B678F7" w:rsidRPr="009702BE" w:rsidRDefault="005B6FD8" w:rsidP="009702B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Перша</w:t>
      </w:r>
      <w:r w:rsidR="00E73073" w:rsidRPr="00970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колегія суддів Другого сенат</w:t>
      </w:r>
      <w:r w:rsidR="00F11899" w:rsidRPr="00970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Конституційного Суду України</w:t>
      </w:r>
      <w:r w:rsidR="00E73073" w:rsidRPr="00970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дійшла висновку, що </w:t>
      </w:r>
      <w:r w:rsidR="002F7A97" w:rsidRPr="00970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конституційна скарга не відповідає вимогам пункту 6 частини другої статті 55, </w:t>
      </w:r>
      <w:r w:rsidR="009932A0" w:rsidRPr="00970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абзацу першо</w:t>
      </w:r>
      <w:r w:rsidR="00000E6C" w:rsidRPr="00970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</w:t>
      </w:r>
      <w:r w:rsidR="002F7A97" w:rsidRPr="00970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частини першої статті 77 Закону України</w:t>
      </w:r>
      <w:r w:rsidR="00F11899" w:rsidRPr="00970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7A97" w:rsidRPr="00970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„Про Конституційний Суд України“, що є підставою для відмови у відкритті конституційн</w:t>
      </w:r>
      <w:r w:rsidR="003648F6" w:rsidRPr="00970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провадження</w:t>
      </w:r>
      <w:r w:rsidR="00B678F7" w:rsidRPr="00970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5468" w:rsidRPr="00970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справі </w:t>
      </w:r>
      <w:r w:rsidR="00B678F7" w:rsidRPr="00970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з пунктом 4 статті 62 цього закону – неприйнятність конституційної скарги.</w:t>
      </w:r>
    </w:p>
    <w:p w:rsidR="005C5E9A" w:rsidRPr="009702BE" w:rsidRDefault="005C5E9A" w:rsidP="009702B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4C93" w:rsidRPr="009702BE" w:rsidRDefault="008E4C93" w:rsidP="009702B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2BE">
        <w:rPr>
          <w:rFonts w:ascii="Times New Roman" w:hAnsi="Times New Roman" w:cs="Times New Roman"/>
          <w:sz w:val="28"/>
          <w:szCs w:val="28"/>
        </w:rPr>
        <w:t>Ураховуючи викладене та керуючись с</w:t>
      </w:r>
      <w:r w:rsidR="00B678F7" w:rsidRPr="009702BE">
        <w:rPr>
          <w:rFonts w:ascii="Times New Roman" w:hAnsi="Times New Roman" w:cs="Times New Roman"/>
          <w:sz w:val="28"/>
          <w:szCs w:val="28"/>
        </w:rPr>
        <w:t>таттями 147,</w:t>
      </w:r>
      <w:r w:rsidRPr="009702BE">
        <w:rPr>
          <w:rFonts w:ascii="Times New Roman" w:hAnsi="Times New Roman" w:cs="Times New Roman"/>
          <w:sz w:val="28"/>
          <w:szCs w:val="28"/>
        </w:rPr>
        <w:t xml:space="preserve"> 151</w:t>
      </w:r>
      <w:r w:rsidRPr="009702B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702BE">
        <w:rPr>
          <w:rFonts w:ascii="Times New Roman" w:hAnsi="Times New Roman" w:cs="Times New Roman"/>
          <w:sz w:val="28"/>
          <w:szCs w:val="28"/>
        </w:rPr>
        <w:t>, 153 Конституції України, на підставі статей 7, 32, 37, 55, 56, 58, 61, 62, 77, 86 Закону України „Про Конституційний Суд України“, відповідно до § 45, § 56 Регламенту Конституційного Суду України Перша колегія суддів Другого сенату Конституційного Суду України</w:t>
      </w:r>
      <w:r w:rsidRPr="00970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E74CC" w:rsidRPr="009702BE" w:rsidRDefault="004E74CC" w:rsidP="009702B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2BF5" w:rsidRPr="009702BE" w:rsidRDefault="00422BF5" w:rsidP="009702BE">
      <w:pPr>
        <w:keepLine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0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у х в а л и л а:</w:t>
      </w:r>
    </w:p>
    <w:p w:rsidR="00422BF5" w:rsidRPr="009702BE" w:rsidRDefault="00422BF5" w:rsidP="009702BE">
      <w:pPr>
        <w:keepLines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425E" w:rsidRPr="009702BE" w:rsidRDefault="00422BF5" w:rsidP="009702BE">
      <w:pPr>
        <w:keepLine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AC5316" w:rsidRPr="00970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Відмовити у відкритті конституційного провадження </w:t>
      </w:r>
      <w:r w:rsidR="00CB425E" w:rsidRPr="00970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справі за конституційною скаргою </w:t>
      </w:r>
      <w:r w:rsidR="000A2A32" w:rsidRPr="009702BE">
        <w:rPr>
          <w:rFonts w:ascii="Times New Roman" w:hAnsi="Times New Roman" w:cs="Times New Roman"/>
          <w:bCs/>
          <w:color w:val="070607"/>
          <w:sz w:val="28"/>
          <w:szCs w:val="28"/>
        </w:rPr>
        <w:t xml:space="preserve">Сай Ольги Василівни щодо відповідності Конституції України (конституційності) окремого припису частини другої статті 365 Цивільного кодексу України </w:t>
      </w:r>
      <w:r w:rsidR="00B348D7" w:rsidRPr="00970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підставі пункту 4 статті 62 Закону України </w:t>
      </w:r>
      <w:r w:rsidR="00B678F7" w:rsidRPr="00970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„</w:t>
      </w:r>
      <w:r w:rsidR="00B348D7" w:rsidRPr="00970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Конституційний Суд України</w:t>
      </w:r>
      <w:r w:rsidR="00B678F7" w:rsidRPr="00970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r w:rsidR="00B348D7" w:rsidRPr="00970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неприйнятність конституційної скарги.</w:t>
      </w:r>
    </w:p>
    <w:p w:rsidR="00422BF5" w:rsidRPr="009702BE" w:rsidRDefault="00422BF5" w:rsidP="009702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2BD5" w:rsidRDefault="008F2E26" w:rsidP="009702B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Ухвала є остаточною.</w:t>
      </w:r>
    </w:p>
    <w:p w:rsidR="009702BE" w:rsidRDefault="009702BE" w:rsidP="009702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02BE" w:rsidRDefault="009702BE" w:rsidP="009702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02BE" w:rsidRDefault="009702BE" w:rsidP="009702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450401" w:rsidRPr="00450401" w:rsidRDefault="00450401" w:rsidP="00450401">
      <w:pPr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450401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Перша колегія суддів</w:t>
      </w:r>
    </w:p>
    <w:p w:rsidR="00450401" w:rsidRPr="00450401" w:rsidRDefault="00450401" w:rsidP="00450401">
      <w:pPr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50401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Другого</w:t>
      </w:r>
      <w:r w:rsidRPr="0045040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сенату</w:t>
      </w:r>
    </w:p>
    <w:p w:rsidR="009702BE" w:rsidRPr="00450401" w:rsidRDefault="00450401" w:rsidP="00450401">
      <w:pPr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450401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Конституційного Суду України</w:t>
      </w:r>
    </w:p>
    <w:sectPr w:rsidR="009702BE" w:rsidRPr="00450401" w:rsidSect="009702BE">
      <w:headerReference w:type="default" r:id="rId6"/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2BE" w:rsidRDefault="009702BE" w:rsidP="009702BE">
      <w:pPr>
        <w:spacing w:after="0" w:line="240" w:lineRule="auto"/>
      </w:pPr>
      <w:r>
        <w:separator/>
      </w:r>
    </w:p>
  </w:endnote>
  <w:endnote w:type="continuationSeparator" w:id="0">
    <w:p w:rsidR="009702BE" w:rsidRDefault="009702BE" w:rsidP="00970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2BE" w:rsidRPr="009702BE" w:rsidRDefault="009702BE">
    <w:pPr>
      <w:pStyle w:val="af"/>
      <w:rPr>
        <w:rFonts w:ascii="Times New Roman" w:hAnsi="Times New Roman" w:cs="Times New Roman"/>
        <w:sz w:val="10"/>
        <w:szCs w:val="10"/>
      </w:rPr>
    </w:pPr>
    <w:r w:rsidRPr="009702BE">
      <w:rPr>
        <w:rFonts w:ascii="Times New Roman" w:hAnsi="Times New Roman" w:cs="Times New Roman"/>
        <w:sz w:val="10"/>
        <w:szCs w:val="10"/>
      </w:rPr>
      <w:fldChar w:fldCharType="begin"/>
    </w:r>
    <w:r w:rsidRPr="009702BE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9702BE">
      <w:rPr>
        <w:rFonts w:ascii="Times New Roman" w:hAnsi="Times New Roman" w:cs="Times New Roman"/>
        <w:sz w:val="10"/>
        <w:szCs w:val="10"/>
      </w:rPr>
      <w:fldChar w:fldCharType="separate"/>
    </w:r>
    <w:r w:rsidR="00450401">
      <w:rPr>
        <w:rFonts w:ascii="Times New Roman" w:hAnsi="Times New Roman" w:cs="Times New Roman"/>
        <w:noProof/>
        <w:sz w:val="10"/>
        <w:szCs w:val="10"/>
      </w:rPr>
      <w:t>G:\2025\Suddi\II senat\I koleg\10.docx</w:t>
    </w:r>
    <w:r w:rsidRPr="009702BE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2BE" w:rsidRPr="009702BE" w:rsidRDefault="009702BE">
    <w:pPr>
      <w:pStyle w:val="af"/>
      <w:rPr>
        <w:rFonts w:ascii="Times New Roman" w:hAnsi="Times New Roman" w:cs="Times New Roman"/>
        <w:sz w:val="10"/>
        <w:szCs w:val="10"/>
      </w:rPr>
    </w:pPr>
    <w:r w:rsidRPr="009702BE">
      <w:rPr>
        <w:rFonts w:ascii="Times New Roman" w:hAnsi="Times New Roman" w:cs="Times New Roman"/>
        <w:sz w:val="10"/>
        <w:szCs w:val="10"/>
      </w:rPr>
      <w:fldChar w:fldCharType="begin"/>
    </w:r>
    <w:r w:rsidRPr="009702BE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9702BE">
      <w:rPr>
        <w:rFonts w:ascii="Times New Roman" w:hAnsi="Times New Roman" w:cs="Times New Roman"/>
        <w:sz w:val="10"/>
        <w:szCs w:val="10"/>
      </w:rPr>
      <w:fldChar w:fldCharType="separate"/>
    </w:r>
    <w:r w:rsidR="00450401">
      <w:rPr>
        <w:rFonts w:ascii="Times New Roman" w:hAnsi="Times New Roman" w:cs="Times New Roman"/>
        <w:noProof/>
        <w:sz w:val="10"/>
        <w:szCs w:val="10"/>
      </w:rPr>
      <w:t>G:\2025\Suddi\II senat\I koleg\10.docx</w:t>
    </w:r>
    <w:r w:rsidRPr="009702BE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2BE" w:rsidRDefault="009702BE" w:rsidP="009702BE">
      <w:pPr>
        <w:spacing w:after="0" w:line="240" w:lineRule="auto"/>
      </w:pPr>
      <w:r>
        <w:separator/>
      </w:r>
    </w:p>
  </w:footnote>
  <w:footnote w:type="continuationSeparator" w:id="0">
    <w:p w:rsidR="009702BE" w:rsidRDefault="009702BE" w:rsidP="00970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744000024"/>
      <w:docPartObj>
        <w:docPartGallery w:val="Page Numbers (Top of Page)"/>
        <w:docPartUnique/>
      </w:docPartObj>
    </w:sdtPr>
    <w:sdtEndPr/>
    <w:sdtContent>
      <w:p w:rsidR="009702BE" w:rsidRPr="009702BE" w:rsidRDefault="009702BE">
        <w:pPr>
          <w:pStyle w:val="ad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702B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702B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702B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50401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9702B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BF5"/>
    <w:rsid w:val="00000E6C"/>
    <w:rsid w:val="000021EF"/>
    <w:rsid w:val="0001110A"/>
    <w:rsid w:val="00031BFD"/>
    <w:rsid w:val="00034777"/>
    <w:rsid w:val="00054199"/>
    <w:rsid w:val="00085268"/>
    <w:rsid w:val="00085F4F"/>
    <w:rsid w:val="00086753"/>
    <w:rsid w:val="000922A6"/>
    <w:rsid w:val="00094415"/>
    <w:rsid w:val="000A2A32"/>
    <w:rsid w:val="000C45E2"/>
    <w:rsid w:val="000C4A3C"/>
    <w:rsid w:val="000F6D78"/>
    <w:rsid w:val="00120C7A"/>
    <w:rsid w:val="00123CD4"/>
    <w:rsid w:val="00153CCA"/>
    <w:rsid w:val="00165117"/>
    <w:rsid w:val="001658CF"/>
    <w:rsid w:val="001D1CC7"/>
    <w:rsid w:val="001E1A16"/>
    <w:rsid w:val="001F2280"/>
    <w:rsid w:val="00213D62"/>
    <w:rsid w:val="00227FFC"/>
    <w:rsid w:val="0024599D"/>
    <w:rsid w:val="00275055"/>
    <w:rsid w:val="002A79FA"/>
    <w:rsid w:val="002C3464"/>
    <w:rsid w:val="002C583D"/>
    <w:rsid w:val="002C77AD"/>
    <w:rsid w:val="002D3625"/>
    <w:rsid w:val="002F3C5C"/>
    <w:rsid w:val="002F7A97"/>
    <w:rsid w:val="003023CE"/>
    <w:rsid w:val="00310184"/>
    <w:rsid w:val="003648F6"/>
    <w:rsid w:val="0038069F"/>
    <w:rsid w:val="00383C8F"/>
    <w:rsid w:val="003939E2"/>
    <w:rsid w:val="003B2860"/>
    <w:rsid w:val="003B2C34"/>
    <w:rsid w:val="003E5173"/>
    <w:rsid w:val="003F557D"/>
    <w:rsid w:val="00405083"/>
    <w:rsid w:val="00422BF5"/>
    <w:rsid w:val="00424053"/>
    <w:rsid w:val="00424C54"/>
    <w:rsid w:val="00450401"/>
    <w:rsid w:val="004864CC"/>
    <w:rsid w:val="004A483A"/>
    <w:rsid w:val="004A50E9"/>
    <w:rsid w:val="004C252A"/>
    <w:rsid w:val="004E74CC"/>
    <w:rsid w:val="004F208A"/>
    <w:rsid w:val="004F7B12"/>
    <w:rsid w:val="00516B07"/>
    <w:rsid w:val="00537AB5"/>
    <w:rsid w:val="00570892"/>
    <w:rsid w:val="00580A28"/>
    <w:rsid w:val="00582DDC"/>
    <w:rsid w:val="0058529D"/>
    <w:rsid w:val="005914F9"/>
    <w:rsid w:val="005B081D"/>
    <w:rsid w:val="005B6FD8"/>
    <w:rsid w:val="005C566F"/>
    <w:rsid w:val="005C5E9A"/>
    <w:rsid w:val="005D2BD5"/>
    <w:rsid w:val="005E599C"/>
    <w:rsid w:val="005E6EF1"/>
    <w:rsid w:val="005F4899"/>
    <w:rsid w:val="00613D1C"/>
    <w:rsid w:val="00615ECD"/>
    <w:rsid w:val="00631E48"/>
    <w:rsid w:val="00640522"/>
    <w:rsid w:val="006753DD"/>
    <w:rsid w:val="006824DA"/>
    <w:rsid w:val="0069086D"/>
    <w:rsid w:val="006A337F"/>
    <w:rsid w:val="006B2F9F"/>
    <w:rsid w:val="006B5633"/>
    <w:rsid w:val="006C15E6"/>
    <w:rsid w:val="00701650"/>
    <w:rsid w:val="00706DF7"/>
    <w:rsid w:val="00710114"/>
    <w:rsid w:val="00726C6A"/>
    <w:rsid w:val="00735897"/>
    <w:rsid w:val="00740807"/>
    <w:rsid w:val="0078299E"/>
    <w:rsid w:val="00793C9B"/>
    <w:rsid w:val="007A79D3"/>
    <w:rsid w:val="007B5333"/>
    <w:rsid w:val="007C2CBF"/>
    <w:rsid w:val="007E3E4F"/>
    <w:rsid w:val="007F67ED"/>
    <w:rsid w:val="008149F8"/>
    <w:rsid w:val="00826250"/>
    <w:rsid w:val="00843021"/>
    <w:rsid w:val="0086047E"/>
    <w:rsid w:val="00871D61"/>
    <w:rsid w:val="00873753"/>
    <w:rsid w:val="00884685"/>
    <w:rsid w:val="00885284"/>
    <w:rsid w:val="00892ABC"/>
    <w:rsid w:val="008C114B"/>
    <w:rsid w:val="008C63FE"/>
    <w:rsid w:val="008E4C93"/>
    <w:rsid w:val="008F2E26"/>
    <w:rsid w:val="008F3207"/>
    <w:rsid w:val="008F68EB"/>
    <w:rsid w:val="008F7EE8"/>
    <w:rsid w:val="00911E17"/>
    <w:rsid w:val="009250E1"/>
    <w:rsid w:val="0093303D"/>
    <w:rsid w:val="00943C31"/>
    <w:rsid w:val="0095258C"/>
    <w:rsid w:val="00956797"/>
    <w:rsid w:val="009702BE"/>
    <w:rsid w:val="009932A0"/>
    <w:rsid w:val="009A29AE"/>
    <w:rsid w:val="00A06C1B"/>
    <w:rsid w:val="00A33819"/>
    <w:rsid w:val="00A4251B"/>
    <w:rsid w:val="00A513FD"/>
    <w:rsid w:val="00A66F82"/>
    <w:rsid w:val="00A92C50"/>
    <w:rsid w:val="00AB06BE"/>
    <w:rsid w:val="00AB36F6"/>
    <w:rsid w:val="00AB3CCA"/>
    <w:rsid w:val="00AC5316"/>
    <w:rsid w:val="00AD709F"/>
    <w:rsid w:val="00AE7073"/>
    <w:rsid w:val="00AF1A35"/>
    <w:rsid w:val="00B26340"/>
    <w:rsid w:val="00B348D7"/>
    <w:rsid w:val="00B678F7"/>
    <w:rsid w:val="00B72FAE"/>
    <w:rsid w:val="00B9701F"/>
    <w:rsid w:val="00BD3036"/>
    <w:rsid w:val="00BD5024"/>
    <w:rsid w:val="00BD6242"/>
    <w:rsid w:val="00BE0061"/>
    <w:rsid w:val="00BE3B5A"/>
    <w:rsid w:val="00BE6422"/>
    <w:rsid w:val="00BE7D5E"/>
    <w:rsid w:val="00BF2168"/>
    <w:rsid w:val="00C15CC6"/>
    <w:rsid w:val="00C516FD"/>
    <w:rsid w:val="00C53FD5"/>
    <w:rsid w:val="00C8192F"/>
    <w:rsid w:val="00C92242"/>
    <w:rsid w:val="00CB425E"/>
    <w:rsid w:val="00CB6A46"/>
    <w:rsid w:val="00CF3FC4"/>
    <w:rsid w:val="00CF5468"/>
    <w:rsid w:val="00D02482"/>
    <w:rsid w:val="00D10DFD"/>
    <w:rsid w:val="00D235A4"/>
    <w:rsid w:val="00D7061B"/>
    <w:rsid w:val="00D81AFB"/>
    <w:rsid w:val="00D9268D"/>
    <w:rsid w:val="00D96F07"/>
    <w:rsid w:val="00DA3510"/>
    <w:rsid w:val="00DB5901"/>
    <w:rsid w:val="00DE3CB3"/>
    <w:rsid w:val="00DE7EB7"/>
    <w:rsid w:val="00DF104D"/>
    <w:rsid w:val="00E059C6"/>
    <w:rsid w:val="00E26E79"/>
    <w:rsid w:val="00E3301B"/>
    <w:rsid w:val="00E34019"/>
    <w:rsid w:val="00E36FD6"/>
    <w:rsid w:val="00E40CC9"/>
    <w:rsid w:val="00E73073"/>
    <w:rsid w:val="00E906F1"/>
    <w:rsid w:val="00E953B2"/>
    <w:rsid w:val="00E955BC"/>
    <w:rsid w:val="00EA4396"/>
    <w:rsid w:val="00EA53A3"/>
    <w:rsid w:val="00ED5EE2"/>
    <w:rsid w:val="00ED6DE1"/>
    <w:rsid w:val="00ED7CF8"/>
    <w:rsid w:val="00EE1E54"/>
    <w:rsid w:val="00EE604C"/>
    <w:rsid w:val="00F11899"/>
    <w:rsid w:val="00F31C58"/>
    <w:rsid w:val="00F34E0A"/>
    <w:rsid w:val="00F545F3"/>
    <w:rsid w:val="00F546AA"/>
    <w:rsid w:val="00F6287E"/>
    <w:rsid w:val="00F65182"/>
    <w:rsid w:val="00F67B05"/>
    <w:rsid w:val="00F92C81"/>
    <w:rsid w:val="00FB2A01"/>
    <w:rsid w:val="00FC4283"/>
    <w:rsid w:val="00FC5190"/>
    <w:rsid w:val="00FF12ED"/>
    <w:rsid w:val="00FF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E0A63"/>
  <w15:chartTrackingRefBased/>
  <w15:docId w15:val="{011BB28E-5E34-4EFB-A9E7-417A0F084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D1C"/>
    <w:pPr>
      <w:ind w:left="720"/>
      <w:contextualSpacing/>
    </w:pPr>
  </w:style>
  <w:style w:type="paragraph" w:styleId="a4">
    <w:name w:val="No Spacing"/>
    <w:uiPriority w:val="1"/>
    <w:qFormat/>
    <w:rsid w:val="00DE7EB7"/>
    <w:pPr>
      <w:spacing w:after="0" w:line="240" w:lineRule="auto"/>
    </w:pPr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3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43021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E955B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955BC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E955B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955BC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E955BC"/>
    <w:rPr>
      <w:b/>
      <w:bCs/>
      <w:sz w:val="20"/>
      <w:szCs w:val="20"/>
    </w:rPr>
  </w:style>
  <w:style w:type="character" w:styleId="ac">
    <w:name w:val="Hyperlink"/>
    <w:basedOn w:val="a0"/>
    <w:uiPriority w:val="99"/>
    <w:unhideWhenUsed/>
    <w:rsid w:val="00B9701F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9702B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Верхній колонтитул Знак"/>
    <w:basedOn w:val="a0"/>
    <w:link w:val="ad"/>
    <w:uiPriority w:val="99"/>
    <w:rsid w:val="009702BE"/>
  </w:style>
  <w:style w:type="paragraph" w:styleId="af">
    <w:name w:val="footer"/>
    <w:basedOn w:val="a"/>
    <w:link w:val="af0"/>
    <w:uiPriority w:val="99"/>
    <w:unhideWhenUsed/>
    <w:rsid w:val="009702B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Нижній колонтитул Знак"/>
    <w:basedOn w:val="a0"/>
    <w:link w:val="af"/>
    <w:uiPriority w:val="99"/>
    <w:rsid w:val="009702BE"/>
  </w:style>
  <w:style w:type="table" w:styleId="af1">
    <w:name w:val="Table Grid"/>
    <w:basedOn w:val="a1"/>
    <w:uiPriority w:val="39"/>
    <w:rsid w:val="00970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8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4710</Words>
  <Characters>2686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О. Потаніна</dc:creator>
  <cp:keywords/>
  <dc:description/>
  <cp:lastModifiedBy>Валентина М. Поліщук</cp:lastModifiedBy>
  <cp:revision>6</cp:revision>
  <cp:lastPrinted>2025-06-11T12:28:00Z</cp:lastPrinted>
  <dcterms:created xsi:type="dcterms:W3CDTF">2025-06-11T08:38:00Z</dcterms:created>
  <dcterms:modified xsi:type="dcterms:W3CDTF">2025-06-11T12:28:00Z</dcterms:modified>
</cp:coreProperties>
</file>