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061AB3" w:rsidRDefault="00061AB3" w:rsidP="00061AB3">
      <w:pPr>
        <w:jc w:val="both"/>
        <w:rPr>
          <w:b/>
          <w:bCs/>
          <w:sz w:val="28"/>
          <w:szCs w:val="28"/>
        </w:rPr>
      </w:pPr>
    </w:p>
    <w:p w:rsidR="0032115F" w:rsidRPr="00061AB3" w:rsidRDefault="0032115F" w:rsidP="00061AB3">
      <w:pPr>
        <w:ind w:left="709" w:right="1133"/>
        <w:jc w:val="both"/>
        <w:rPr>
          <w:b/>
          <w:sz w:val="28"/>
          <w:szCs w:val="28"/>
        </w:rPr>
      </w:pPr>
      <w:r w:rsidRPr="00061AB3">
        <w:rPr>
          <w:b/>
          <w:bCs/>
          <w:sz w:val="28"/>
          <w:szCs w:val="28"/>
        </w:rPr>
        <w:t xml:space="preserve">про відмову у відкритті конституційного провадження у справі за конституційною скаргою </w:t>
      </w:r>
      <w:r w:rsidR="00944157" w:rsidRPr="00061AB3">
        <w:rPr>
          <w:b/>
          <w:bCs/>
          <w:sz w:val="28"/>
          <w:szCs w:val="28"/>
        </w:rPr>
        <w:t xml:space="preserve">Товариства з обмеженою відповідальністю </w:t>
      </w:r>
      <w:r w:rsidR="00944157" w:rsidRPr="00061AB3">
        <w:rPr>
          <w:b/>
          <w:sz w:val="28"/>
          <w:szCs w:val="28"/>
        </w:rPr>
        <w:t>«Фінансова компанія „Форінт“»</w:t>
      </w:r>
      <w:r w:rsidRPr="00061AB3">
        <w:rPr>
          <w:b/>
          <w:bCs/>
          <w:sz w:val="28"/>
          <w:szCs w:val="28"/>
        </w:rPr>
        <w:t xml:space="preserve"> щодо відповідності Конституції України (конституційності) положень </w:t>
      </w:r>
      <w:r w:rsidR="00944157" w:rsidRPr="00061AB3">
        <w:rPr>
          <w:b/>
          <w:bCs/>
          <w:sz w:val="28"/>
          <w:szCs w:val="28"/>
        </w:rPr>
        <w:t>пункту 2 частини першої статті 175, пункту 3 частини першої статті 231</w:t>
      </w:r>
      <w:r w:rsidRPr="00061AB3">
        <w:rPr>
          <w:b/>
          <w:bCs/>
          <w:sz w:val="28"/>
          <w:szCs w:val="28"/>
        </w:rPr>
        <w:t xml:space="preserve"> </w:t>
      </w:r>
      <w:r w:rsidR="00944157" w:rsidRPr="00061AB3">
        <w:rPr>
          <w:b/>
          <w:bCs/>
          <w:sz w:val="28"/>
          <w:szCs w:val="28"/>
        </w:rPr>
        <w:t xml:space="preserve">Господарського процесуального </w:t>
      </w:r>
      <w:r w:rsidR="00061AB3">
        <w:rPr>
          <w:b/>
          <w:bCs/>
          <w:sz w:val="28"/>
          <w:szCs w:val="28"/>
        </w:rPr>
        <w:br/>
      </w:r>
      <w:r w:rsidR="00061AB3">
        <w:rPr>
          <w:b/>
          <w:bCs/>
          <w:sz w:val="28"/>
          <w:szCs w:val="28"/>
        </w:rPr>
        <w:tab/>
      </w:r>
      <w:r w:rsidR="00061AB3">
        <w:rPr>
          <w:b/>
          <w:bCs/>
          <w:sz w:val="28"/>
          <w:szCs w:val="28"/>
        </w:rPr>
        <w:tab/>
      </w:r>
      <w:r w:rsidR="00061AB3">
        <w:rPr>
          <w:b/>
          <w:bCs/>
          <w:sz w:val="28"/>
          <w:szCs w:val="28"/>
        </w:rPr>
        <w:tab/>
      </w:r>
      <w:r w:rsidR="00061AB3">
        <w:rPr>
          <w:b/>
          <w:bCs/>
          <w:sz w:val="28"/>
          <w:szCs w:val="28"/>
        </w:rPr>
        <w:tab/>
      </w:r>
      <w:r w:rsidR="00047003">
        <w:rPr>
          <w:b/>
          <w:bCs/>
          <w:sz w:val="28"/>
          <w:szCs w:val="28"/>
        </w:rPr>
        <w:t xml:space="preserve"> </w:t>
      </w:r>
      <w:r w:rsidR="00944157" w:rsidRPr="00061AB3">
        <w:rPr>
          <w:b/>
          <w:bCs/>
          <w:sz w:val="28"/>
          <w:szCs w:val="28"/>
        </w:rPr>
        <w:t>кодексу України</w:t>
      </w:r>
    </w:p>
    <w:p w:rsidR="0032115F" w:rsidRDefault="0032115F" w:rsidP="00061AB3">
      <w:pPr>
        <w:pStyle w:val="a9"/>
        <w:ind w:firstLine="0"/>
        <w:rPr>
          <w:b w:val="0"/>
          <w:bCs/>
          <w:szCs w:val="28"/>
        </w:rPr>
      </w:pPr>
    </w:p>
    <w:p w:rsidR="00061AB3" w:rsidRPr="00061AB3" w:rsidRDefault="00061AB3" w:rsidP="00061AB3">
      <w:pPr>
        <w:pStyle w:val="a9"/>
        <w:ind w:firstLine="0"/>
        <w:rPr>
          <w:b w:val="0"/>
          <w:bCs/>
          <w:szCs w:val="28"/>
        </w:rPr>
      </w:pPr>
    </w:p>
    <w:p w:rsidR="00061AB3" w:rsidRDefault="0032115F" w:rsidP="00061AB3">
      <w:pPr>
        <w:pStyle w:val="p1"/>
        <w:spacing w:before="0" w:beforeAutospacing="0" w:after="0" w:afterAutospacing="0"/>
        <w:rPr>
          <w:rFonts w:ascii="Times New Roman" w:hAnsi="Times New Roman" w:cs="Times New Roman"/>
          <w:b w:val="0"/>
          <w:color w:val="auto"/>
          <w:sz w:val="28"/>
          <w:szCs w:val="28"/>
          <w:lang w:val="uk-UA"/>
        </w:rPr>
      </w:pPr>
      <w:r w:rsidRPr="00061AB3">
        <w:rPr>
          <w:rFonts w:ascii="Times New Roman" w:hAnsi="Times New Roman" w:cs="Times New Roman"/>
          <w:b w:val="0"/>
          <w:bCs w:val="0"/>
          <w:color w:val="auto"/>
          <w:sz w:val="28"/>
          <w:szCs w:val="28"/>
          <w:lang w:val="uk-UA"/>
        </w:rPr>
        <w:t>м. К и ї в</w:t>
      </w:r>
      <w:r w:rsidRPr="00061AB3">
        <w:rPr>
          <w:rFonts w:ascii="Times New Roman" w:hAnsi="Times New Roman" w:cs="Times New Roman"/>
          <w:b w:val="0"/>
          <w:bCs w:val="0"/>
          <w:color w:val="auto"/>
          <w:sz w:val="28"/>
          <w:szCs w:val="28"/>
          <w:lang w:val="uk-UA"/>
        </w:rPr>
        <w:tab/>
      </w:r>
      <w:r w:rsidRPr="00061AB3">
        <w:rPr>
          <w:rFonts w:ascii="Times New Roman" w:hAnsi="Times New Roman" w:cs="Times New Roman"/>
          <w:b w:val="0"/>
          <w:color w:val="auto"/>
          <w:sz w:val="28"/>
          <w:szCs w:val="28"/>
          <w:lang w:val="uk-UA"/>
        </w:rPr>
        <w:tab/>
      </w:r>
      <w:r w:rsidRPr="00061AB3">
        <w:rPr>
          <w:rFonts w:ascii="Times New Roman" w:hAnsi="Times New Roman" w:cs="Times New Roman"/>
          <w:b w:val="0"/>
          <w:color w:val="auto"/>
          <w:sz w:val="28"/>
          <w:szCs w:val="28"/>
          <w:lang w:val="uk-UA"/>
        </w:rPr>
        <w:tab/>
      </w:r>
      <w:r w:rsidRPr="00061AB3">
        <w:rPr>
          <w:rFonts w:ascii="Times New Roman" w:hAnsi="Times New Roman" w:cs="Times New Roman"/>
          <w:b w:val="0"/>
          <w:color w:val="auto"/>
          <w:sz w:val="28"/>
          <w:szCs w:val="28"/>
          <w:lang w:val="uk-UA"/>
        </w:rPr>
        <w:tab/>
      </w:r>
      <w:r w:rsidRPr="00061AB3">
        <w:rPr>
          <w:rFonts w:ascii="Times New Roman" w:hAnsi="Times New Roman" w:cs="Times New Roman"/>
          <w:b w:val="0"/>
          <w:color w:val="auto"/>
          <w:sz w:val="28"/>
          <w:szCs w:val="28"/>
          <w:lang w:val="uk-UA"/>
        </w:rPr>
        <w:tab/>
      </w:r>
      <w:r w:rsidR="00061AB3">
        <w:rPr>
          <w:rFonts w:ascii="Times New Roman" w:hAnsi="Times New Roman" w:cs="Times New Roman"/>
          <w:b w:val="0"/>
          <w:color w:val="auto"/>
          <w:sz w:val="28"/>
          <w:szCs w:val="28"/>
          <w:lang w:val="uk-UA"/>
        </w:rPr>
        <w:tab/>
      </w:r>
      <w:r w:rsidR="00047003">
        <w:rPr>
          <w:rFonts w:ascii="Times New Roman" w:hAnsi="Times New Roman" w:cs="Times New Roman"/>
          <w:b w:val="0"/>
          <w:color w:val="auto"/>
          <w:sz w:val="28"/>
          <w:szCs w:val="28"/>
          <w:lang w:val="uk-UA"/>
        </w:rPr>
        <w:t xml:space="preserve"> </w:t>
      </w:r>
      <w:r w:rsidRPr="00061AB3">
        <w:rPr>
          <w:rFonts w:ascii="Times New Roman" w:hAnsi="Times New Roman" w:cs="Times New Roman"/>
          <w:b w:val="0"/>
          <w:color w:val="auto"/>
          <w:sz w:val="28"/>
          <w:szCs w:val="28"/>
          <w:lang w:val="uk-UA"/>
        </w:rPr>
        <w:t xml:space="preserve">Справа </w:t>
      </w:r>
      <w:r w:rsidR="00047003">
        <w:rPr>
          <w:rFonts w:ascii="Times New Roman" w:hAnsi="Times New Roman" w:cs="Times New Roman"/>
          <w:b w:val="0"/>
          <w:color w:val="auto"/>
          <w:sz w:val="28"/>
          <w:szCs w:val="28"/>
          <w:lang w:val="uk-UA"/>
        </w:rPr>
        <w:t xml:space="preserve">№ </w:t>
      </w:r>
      <w:r w:rsidR="00352126" w:rsidRPr="00061AB3">
        <w:rPr>
          <w:rFonts w:ascii="Times New Roman" w:hAnsi="Times New Roman" w:cs="Times New Roman"/>
          <w:b w:val="0"/>
          <w:color w:val="000000"/>
          <w:sz w:val="28"/>
          <w:szCs w:val="28"/>
          <w:lang w:val="uk-UA"/>
        </w:rPr>
        <w:t>3</w:t>
      </w:r>
      <w:r w:rsidR="006E6F78">
        <w:rPr>
          <w:rFonts w:ascii="Times New Roman" w:hAnsi="Times New Roman" w:cs="Times New Roman"/>
          <w:b w:val="0"/>
          <w:color w:val="000000"/>
          <w:sz w:val="28"/>
          <w:szCs w:val="28"/>
          <w:lang w:val="uk-UA"/>
        </w:rPr>
        <w:t>-</w:t>
      </w:r>
      <w:r w:rsidR="004E5CC2" w:rsidRPr="00061AB3">
        <w:rPr>
          <w:rFonts w:ascii="Times New Roman" w:hAnsi="Times New Roman" w:cs="Times New Roman"/>
          <w:b w:val="0"/>
          <w:color w:val="000000"/>
          <w:sz w:val="28"/>
          <w:szCs w:val="28"/>
          <w:lang w:val="uk-UA"/>
        </w:rPr>
        <w:t>41</w:t>
      </w:r>
      <w:r w:rsidR="00352126" w:rsidRPr="00061AB3">
        <w:rPr>
          <w:rFonts w:ascii="Times New Roman" w:hAnsi="Times New Roman" w:cs="Times New Roman"/>
          <w:b w:val="0"/>
          <w:color w:val="000000"/>
          <w:sz w:val="28"/>
          <w:szCs w:val="28"/>
          <w:lang w:val="uk-UA"/>
        </w:rPr>
        <w:t>/2022(</w:t>
      </w:r>
      <w:r w:rsidR="004E5CC2" w:rsidRPr="00061AB3">
        <w:rPr>
          <w:rFonts w:ascii="Times New Roman" w:hAnsi="Times New Roman" w:cs="Times New Roman"/>
          <w:b w:val="0"/>
          <w:color w:val="000000"/>
          <w:sz w:val="28"/>
          <w:szCs w:val="28"/>
          <w:lang w:val="uk-UA"/>
        </w:rPr>
        <w:t>84</w:t>
      </w:r>
      <w:r w:rsidR="00352126" w:rsidRPr="00061AB3">
        <w:rPr>
          <w:rFonts w:ascii="Times New Roman" w:hAnsi="Times New Roman" w:cs="Times New Roman"/>
          <w:b w:val="0"/>
          <w:color w:val="000000"/>
          <w:sz w:val="28"/>
          <w:szCs w:val="28"/>
          <w:lang w:val="uk-UA"/>
        </w:rPr>
        <w:t>/22</w:t>
      </w:r>
      <w:r w:rsidRPr="00061AB3">
        <w:rPr>
          <w:rFonts w:ascii="Times New Roman" w:hAnsi="Times New Roman" w:cs="Times New Roman"/>
          <w:b w:val="0"/>
          <w:color w:val="auto"/>
          <w:sz w:val="28"/>
          <w:szCs w:val="28"/>
          <w:lang w:val="uk-UA"/>
        </w:rPr>
        <w:t>)</w:t>
      </w:r>
    </w:p>
    <w:p w:rsidR="0032115F" w:rsidRPr="00061AB3" w:rsidRDefault="00061AB3" w:rsidP="00061AB3">
      <w:pPr>
        <w:pStyle w:val="p1"/>
        <w:spacing w:before="0" w:beforeAutospacing="0" w:after="0" w:afterAutospacing="0"/>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31 </w:t>
      </w:r>
      <w:r w:rsidR="001E1169" w:rsidRPr="00061AB3">
        <w:rPr>
          <w:rFonts w:ascii="Times New Roman" w:hAnsi="Times New Roman" w:cs="Times New Roman"/>
          <w:b w:val="0"/>
          <w:color w:val="auto"/>
          <w:sz w:val="28"/>
          <w:szCs w:val="28"/>
          <w:lang w:val="uk-UA"/>
        </w:rPr>
        <w:t>травня</w:t>
      </w:r>
      <w:r w:rsidR="0032115F" w:rsidRPr="00061AB3">
        <w:rPr>
          <w:rFonts w:ascii="Times New Roman" w:hAnsi="Times New Roman" w:cs="Times New Roman"/>
          <w:b w:val="0"/>
          <w:color w:val="auto"/>
          <w:sz w:val="28"/>
          <w:szCs w:val="28"/>
          <w:lang w:val="uk-UA"/>
        </w:rPr>
        <w:t xml:space="preserve"> 2022 року</w:t>
      </w:r>
    </w:p>
    <w:p w:rsidR="0032115F" w:rsidRPr="00061AB3" w:rsidRDefault="00047003" w:rsidP="00061AB3">
      <w:pPr>
        <w:pStyle w:val="p1"/>
        <w:spacing w:before="0" w:beforeAutospacing="0" w:after="0" w:afterAutospacing="0"/>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 </w:t>
      </w:r>
      <w:bookmarkStart w:id="0" w:name="_GoBack"/>
      <w:r w:rsidR="00061AB3">
        <w:rPr>
          <w:rFonts w:ascii="Times New Roman" w:hAnsi="Times New Roman" w:cs="Times New Roman"/>
          <w:b w:val="0"/>
          <w:color w:val="auto"/>
          <w:sz w:val="28"/>
          <w:szCs w:val="28"/>
          <w:lang w:val="uk-UA"/>
        </w:rPr>
        <w:t>47</w:t>
      </w:r>
      <w:r w:rsidR="0032115F" w:rsidRPr="00061AB3">
        <w:rPr>
          <w:rFonts w:ascii="Times New Roman" w:hAnsi="Times New Roman" w:cs="Times New Roman"/>
          <w:b w:val="0"/>
          <w:color w:val="auto"/>
          <w:sz w:val="28"/>
          <w:szCs w:val="28"/>
          <w:lang w:val="uk-UA"/>
        </w:rPr>
        <w:t>-1(І)</w:t>
      </w:r>
      <w:bookmarkEnd w:id="0"/>
      <w:r w:rsidR="0032115F" w:rsidRPr="00061AB3">
        <w:rPr>
          <w:rFonts w:ascii="Times New Roman" w:hAnsi="Times New Roman" w:cs="Times New Roman"/>
          <w:b w:val="0"/>
          <w:color w:val="auto"/>
          <w:sz w:val="28"/>
          <w:szCs w:val="28"/>
          <w:lang w:val="uk-UA"/>
        </w:rPr>
        <w:t>/2022</w:t>
      </w:r>
    </w:p>
    <w:p w:rsidR="0032115F" w:rsidRDefault="0032115F" w:rsidP="00061AB3">
      <w:pPr>
        <w:jc w:val="both"/>
        <w:rPr>
          <w:sz w:val="28"/>
          <w:szCs w:val="28"/>
        </w:rPr>
      </w:pPr>
    </w:p>
    <w:p w:rsidR="00061AB3" w:rsidRPr="00061AB3" w:rsidRDefault="00061AB3" w:rsidP="00061AB3">
      <w:pPr>
        <w:jc w:val="both"/>
        <w:rPr>
          <w:sz w:val="28"/>
          <w:szCs w:val="28"/>
        </w:rPr>
      </w:pPr>
    </w:p>
    <w:p w:rsidR="0032115F" w:rsidRPr="00061AB3" w:rsidRDefault="0032115F" w:rsidP="00061AB3">
      <w:pPr>
        <w:autoSpaceDE w:val="0"/>
        <w:autoSpaceDN w:val="0"/>
        <w:adjustRightInd w:val="0"/>
        <w:ind w:firstLine="709"/>
        <w:jc w:val="both"/>
        <w:rPr>
          <w:sz w:val="28"/>
          <w:szCs w:val="28"/>
        </w:rPr>
      </w:pPr>
      <w:r w:rsidRPr="00061AB3">
        <w:rPr>
          <w:sz w:val="28"/>
          <w:szCs w:val="28"/>
        </w:rPr>
        <w:t>Перша колегія суддів Першого сенату Конституційного Суду України у складі:</w:t>
      </w:r>
    </w:p>
    <w:p w:rsidR="0032115F" w:rsidRPr="00061AB3" w:rsidRDefault="0032115F" w:rsidP="00061AB3">
      <w:pPr>
        <w:autoSpaceDE w:val="0"/>
        <w:autoSpaceDN w:val="0"/>
        <w:adjustRightInd w:val="0"/>
        <w:ind w:firstLine="709"/>
        <w:jc w:val="both"/>
        <w:rPr>
          <w:sz w:val="28"/>
          <w:szCs w:val="28"/>
        </w:rPr>
      </w:pPr>
    </w:p>
    <w:p w:rsidR="0032115F" w:rsidRPr="00061AB3" w:rsidRDefault="0032115F" w:rsidP="00061AB3">
      <w:pPr>
        <w:autoSpaceDE w:val="0"/>
        <w:autoSpaceDN w:val="0"/>
        <w:adjustRightInd w:val="0"/>
        <w:ind w:firstLine="709"/>
        <w:jc w:val="both"/>
        <w:rPr>
          <w:sz w:val="28"/>
          <w:szCs w:val="28"/>
        </w:rPr>
      </w:pPr>
      <w:r w:rsidRPr="00061AB3">
        <w:rPr>
          <w:sz w:val="28"/>
          <w:szCs w:val="28"/>
        </w:rPr>
        <w:t>Колісник Віктор Павлович (голова засідання, доповідач),</w:t>
      </w:r>
    </w:p>
    <w:p w:rsidR="0032115F" w:rsidRPr="00061AB3" w:rsidRDefault="0032115F" w:rsidP="00061AB3">
      <w:pPr>
        <w:autoSpaceDE w:val="0"/>
        <w:autoSpaceDN w:val="0"/>
        <w:adjustRightInd w:val="0"/>
        <w:ind w:firstLine="709"/>
        <w:jc w:val="both"/>
        <w:rPr>
          <w:sz w:val="28"/>
          <w:szCs w:val="28"/>
        </w:rPr>
      </w:pPr>
      <w:r w:rsidRPr="00061AB3">
        <w:rPr>
          <w:sz w:val="28"/>
          <w:szCs w:val="28"/>
        </w:rPr>
        <w:t>Кичун Віктор Іванович,</w:t>
      </w:r>
    </w:p>
    <w:p w:rsidR="0032115F" w:rsidRPr="00061AB3" w:rsidRDefault="0032115F" w:rsidP="00061AB3">
      <w:pPr>
        <w:ind w:firstLine="709"/>
        <w:jc w:val="both"/>
        <w:rPr>
          <w:sz w:val="28"/>
          <w:szCs w:val="28"/>
        </w:rPr>
      </w:pPr>
      <w:r w:rsidRPr="00061AB3">
        <w:rPr>
          <w:sz w:val="28"/>
          <w:szCs w:val="28"/>
        </w:rPr>
        <w:t>Філюк Петро Тодосьович,</w:t>
      </w:r>
    </w:p>
    <w:p w:rsidR="0032115F" w:rsidRPr="00061AB3" w:rsidRDefault="0032115F" w:rsidP="00061AB3">
      <w:pPr>
        <w:ind w:firstLine="709"/>
        <w:jc w:val="both"/>
        <w:rPr>
          <w:sz w:val="28"/>
          <w:szCs w:val="28"/>
        </w:rPr>
      </w:pPr>
    </w:p>
    <w:p w:rsidR="0032115F" w:rsidRPr="00061AB3" w:rsidRDefault="0032115F" w:rsidP="00061AB3">
      <w:pPr>
        <w:spacing w:line="384" w:lineRule="auto"/>
        <w:ind w:firstLine="709"/>
        <w:jc w:val="both"/>
        <w:rPr>
          <w:color w:val="000000"/>
          <w:sz w:val="28"/>
          <w:szCs w:val="28"/>
        </w:rPr>
      </w:pPr>
      <w:r w:rsidRPr="00061AB3">
        <w:rPr>
          <w:sz w:val="28"/>
          <w:szCs w:val="28"/>
        </w:rPr>
        <w:t xml:space="preserve">розглянула на засіданні питання про відкриття конституційного провадження у справі за конституційною скаргою </w:t>
      </w:r>
      <w:r w:rsidR="004754C3" w:rsidRPr="00061AB3">
        <w:rPr>
          <w:color w:val="000000"/>
          <w:sz w:val="28"/>
          <w:szCs w:val="28"/>
        </w:rPr>
        <w:t>Товариства з обмеженою відповідальністю «Фінансова компанія „Форінт“» щодо відповідності Конституції України (конституційності) положень пункту 2 частини першої статті 175, пункту 3 частини першої статті 231 Господарського процесуального кодексу України.</w:t>
      </w:r>
    </w:p>
    <w:p w:rsidR="00061AB3" w:rsidRDefault="00061AB3" w:rsidP="00061AB3">
      <w:pPr>
        <w:spacing w:line="384" w:lineRule="auto"/>
        <w:ind w:firstLine="709"/>
        <w:contextualSpacing/>
        <w:jc w:val="both"/>
        <w:rPr>
          <w:sz w:val="28"/>
          <w:szCs w:val="28"/>
        </w:rPr>
      </w:pPr>
    </w:p>
    <w:p w:rsidR="0032115F" w:rsidRPr="00061AB3" w:rsidRDefault="0032115F" w:rsidP="00061AB3">
      <w:pPr>
        <w:spacing w:line="384" w:lineRule="auto"/>
        <w:ind w:firstLine="709"/>
        <w:contextualSpacing/>
        <w:jc w:val="both"/>
        <w:rPr>
          <w:sz w:val="28"/>
          <w:szCs w:val="28"/>
        </w:rPr>
      </w:pPr>
      <w:r w:rsidRPr="00061AB3">
        <w:rPr>
          <w:sz w:val="28"/>
          <w:szCs w:val="28"/>
        </w:rPr>
        <w:t>Заслухавши суддю-доповідача Колісника В.П. та дослідивши матеріали справи, Перша колегія суддів Першого сенату Конституційного Суду України</w:t>
      </w:r>
    </w:p>
    <w:p w:rsidR="0032115F" w:rsidRPr="00061AB3" w:rsidRDefault="0032115F" w:rsidP="00061AB3">
      <w:pPr>
        <w:spacing w:line="384" w:lineRule="auto"/>
        <w:contextualSpacing/>
        <w:jc w:val="center"/>
        <w:rPr>
          <w:b/>
          <w:sz w:val="28"/>
          <w:szCs w:val="28"/>
        </w:rPr>
      </w:pPr>
      <w:r w:rsidRPr="00061AB3">
        <w:rPr>
          <w:b/>
          <w:sz w:val="28"/>
          <w:szCs w:val="28"/>
        </w:rPr>
        <w:lastRenderedPageBreak/>
        <w:t>у с т а н о в и л а:</w:t>
      </w:r>
    </w:p>
    <w:p w:rsidR="0032115F" w:rsidRPr="00061AB3" w:rsidRDefault="0032115F" w:rsidP="006E6F78">
      <w:pPr>
        <w:ind w:firstLine="709"/>
        <w:contextualSpacing/>
        <w:jc w:val="center"/>
        <w:rPr>
          <w:b/>
          <w:sz w:val="28"/>
          <w:szCs w:val="28"/>
        </w:rPr>
      </w:pPr>
    </w:p>
    <w:p w:rsidR="00352126" w:rsidRPr="00061AB3" w:rsidRDefault="0032115F" w:rsidP="00061AB3">
      <w:pPr>
        <w:spacing w:line="384" w:lineRule="auto"/>
        <w:ind w:firstLine="709"/>
        <w:jc w:val="both"/>
        <w:rPr>
          <w:sz w:val="28"/>
          <w:szCs w:val="28"/>
        </w:rPr>
      </w:pPr>
      <w:r w:rsidRPr="00061AB3">
        <w:rPr>
          <w:sz w:val="28"/>
          <w:szCs w:val="28"/>
        </w:rPr>
        <w:t>1.</w:t>
      </w:r>
      <w:bookmarkStart w:id="1" w:name="_Hlk40441461"/>
      <w:r w:rsidR="00352126" w:rsidRPr="00061AB3">
        <w:rPr>
          <w:sz w:val="28"/>
          <w:szCs w:val="28"/>
        </w:rPr>
        <w:t xml:space="preserve"> </w:t>
      </w:r>
      <w:r w:rsidR="004754C3" w:rsidRPr="00061AB3">
        <w:rPr>
          <w:color w:val="000000"/>
          <w:sz w:val="28"/>
          <w:szCs w:val="28"/>
        </w:rPr>
        <w:t xml:space="preserve">Товариство з обмеженою відповідальністю «Фінансова компанія „Форінт“» (далі – Товариство) </w:t>
      </w:r>
      <w:r w:rsidR="00352126" w:rsidRPr="00061AB3">
        <w:rPr>
          <w:sz w:val="28"/>
          <w:szCs w:val="28"/>
        </w:rPr>
        <w:t>зверну</w:t>
      </w:r>
      <w:r w:rsidR="004754C3" w:rsidRPr="00061AB3">
        <w:rPr>
          <w:sz w:val="28"/>
          <w:szCs w:val="28"/>
        </w:rPr>
        <w:t>лося</w:t>
      </w:r>
      <w:r w:rsidR="00352126" w:rsidRPr="00061AB3">
        <w:rPr>
          <w:sz w:val="28"/>
          <w:szCs w:val="28"/>
        </w:rPr>
        <w:t xml:space="preserve"> до Конституційного Суду України з клопотанням перевірити на відповідність частині першій статті </w:t>
      </w:r>
      <w:r w:rsidR="004754C3" w:rsidRPr="00061AB3">
        <w:rPr>
          <w:sz w:val="28"/>
          <w:szCs w:val="28"/>
        </w:rPr>
        <w:t>55</w:t>
      </w:r>
      <w:r w:rsidR="00352126" w:rsidRPr="00061AB3">
        <w:rPr>
          <w:sz w:val="28"/>
          <w:szCs w:val="28"/>
        </w:rPr>
        <w:t>,</w:t>
      </w:r>
      <w:r w:rsidR="00061AB3">
        <w:rPr>
          <w:sz w:val="28"/>
          <w:szCs w:val="28"/>
        </w:rPr>
        <w:br/>
      </w:r>
      <w:r w:rsidR="00352126" w:rsidRPr="00061AB3">
        <w:rPr>
          <w:sz w:val="28"/>
          <w:szCs w:val="28"/>
        </w:rPr>
        <w:t xml:space="preserve">частині першій статті </w:t>
      </w:r>
      <w:r w:rsidR="004754C3" w:rsidRPr="00061AB3">
        <w:rPr>
          <w:sz w:val="28"/>
          <w:szCs w:val="28"/>
        </w:rPr>
        <w:t>64</w:t>
      </w:r>
      <w:r w:rsidR="00352126" w:rsidRPr="00061AB3">
        <w:rPr>
          <w:sz w:val="28"/>
          <w:szCs w:val="28"/>
        </w:rPr>
        <w:t xml:space="preserve"> Конституції України (конституційність) положення </w:t>
      </w:r>
      <w:r w:rsidR="003C05FE" w:rsidRPr="00061AB3">
        <w:rPr>
          <w:color w:val="000000"/>
          <w:sz w:val="28"/>
          <w:szCs w:val="28"/>
        </w:rPr>
        <w:t>пункту 2 частини першої статті 175 Господарського процесуального кодексу України</w:t>
      </w:r>
      <w:r w:rsidR="00671ED1" w:rsidRPr="00061AB3">
        <w:rPr>
          <w:color w:val="000000"/>
          <w:sz w:val="28"/>
          <w:szCs w:val="28"/>
        </w:rPr>
        <w:t xml:space="preserve"> (далі – Кодекс</w:t>
      </w:r>
      <w:r w:rsidR="000E0BF3" w:rsidRPr="00061AB3">
        <w:rPr>
          <w:color w:val="000000"/>
          <w:sz w:val="28"/>
          <w:szCs w:val="28"/>
        </w:rPr>
        <w:t>),</w:t>
      </w:r>
      <w:r w:rsidR="003C05FE" w:rsidRPr="00061AB3">
        <w:rPr>
          <w:color w:val="000000"/>
          <w:sz w:val="28"/>
          <w:szCs w:val="28"/>
        </w:rPr>
        <w:t xml:space="preserve"> відповідно до якого суддя відмовляє у відкритті провадження у справі, якщо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 та пункту 3 частини першої статті 231 </w:t>
      </w:r>
      <w:r w:rsidR="000E0BF3" w:rsidRPr="00061AB3">
        <w:rPr>
          <w:color w:val="000000"/>
          <w:sz w:val="28"/>
          <w:szCs w:val="28"/>
        </w:rPr>
        <w:t>К</w:t>
      </w:r>
      <w:r w:rsidR="003C05FE" w:rsidRPr="00061AB3">
        <w:rPr>
          <w:color w:val="000000"/>
          <w:sz w:val="28"/>
          <w:szCs w:val="28"/>
        </w:rPr>
        <w:t>одексу</w:t>
      </w:r>
      <w:r w:rsidR="00671ED1" w:rsidRPr="00061AB3">
        <w:rPr>
          <w:color w:val="000000"/>
          <w:sz w:val="28"/>
          <w:szCs w:val="28"/>
        </w:rPr>
        <w:t>, згідно з яким г</w:t>
      </w:r>
      <w:r w:rsidR="003C05FE" w:rsidRPr="00061AB3">
        <w:rPr>
          <w:color w:val="000000"/>
          <w:sz w:val="28"/>
          <w:szCs w:val="28"/>
        </w:rPr>
        <w:t xml:space="preserve">осподарський суд закриває провадження </w:t>
      </w:r>
      <w:r w:rsidR="000E0BF3" w:rsidRPr="00061AB3">
        <w:rPr>
          <w:color w:val="000000"/>
          <w:sz w:val="28"/>
          <w:szCs w:val="28"/>
        </w:rPr>
        <w:t>у справі, якщо суд встановить обставини, які є підставою для відмови у відкритті провадження у справі відповідно до пунктів 2, 4, 5 частини першої статті 175 Кодексу, крім випадків, передбачених частиною другою статті 175 Кодексу.</w:t>
      </w:r>
    </w:p>
    <w:bookmarkEnd w:id="1"/>
    <w:p w:rsidR="00061F40" w:rsidRPr="00061AB3" w:rsidRDefault="00061F40" w:rsidP="006E6F78">
      <w:pPr>
        <w:ind w:firstLine="709"/>
        <w:jc w:val="both"/>
        <w:rPr>
          <w:color w:val="000000"/>
          <w:sz w:val="28"/>
          <w:szCs w:val="28"/>
        </w:rPr>
      </w:pPr>
    </w:p>
    <w:p w:rsidR="0032115F" w:rsidRPr="00061AB3" w:rsidRDefault="0032115F" w:rsidP="00061AB3">
      <w:pPr>
        <w:spacing w:line="384" w:lineRule="auto"/>
        <w:ind w:firstLine="709"/>
        <w:jc w:val="both"/>
        <w:rPr>
          <w:color w:val="000000"/>
          <w:sz w:val="28"/>
          <w:szCs w:val="28"/>
        </w:rPr>
      </w:pPr>
      <w:r w:rsidRPr="00061AB3">
        <w:rPr>
          <w:color w:val="000000"/>
          <w:sz w:val="28"/>
          <w:szCs w:val="28"/>
        </w:rPr>
        <w:t>2. Вирішуючи питання про відкриття конституційного провадження у справі, Перша колегія суддів Першого сенату Конституційного Суду України виходить із такого.</w:t>
      </w:r>
    </w:p>
    <w:p w:rsidR="00702ABA" w:rsidRPr="00061AB3" w:rsidRDefault="00702ABA" w:rsidP="00061AB3">
      <w:pPr>
        <w:spacing w:line="384" w:lineRule="auto"/>
        <w:ind w:firstLine="709"/>
        <w:jc w:val="both"/>
        <w:rPr>
          <w:sz w:val="28"/>
          <w:szCs w:val="28"/>
        </w:rPr>
      </w:pPr>
      <w:r w:rsidRPr="00061AB3">
        <w:rPr>
          <w:sz w:val="28"/>
          <w:szCs w:val="28"/>
        </w:rPr>
        <w:t xml:space="preserve">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w:t>
      </w:r>
      <w:r w:rsidR="00061AB3">
        <w:rPr>
          <w:sz w:val="28"/>
          <w:szCs w:val="28"/>
        </w:rPr>
        <w:t>вимогам, передбаченим, зокрема,</w:t>
      </w:r>
      <w:r w:rsidR="00061AB3">
        <w:rPr>
          <w:sz w:val="28"/>
          <w:szCs w:val="28"/>
        </w:rPr>
        <w:br/>
      </w:r>
      <w:r w:rsidRPr="00061AB3">
        <w:rPr>
          <w:sz w:val="28"/>
          <w:szCs w:val="28"/>
        </w:rPr>
        <w:t xml:space="preserve">статтею 55 цього закону, та якщо з дня набрання законної сили остаточним судовим рішенням, у якому застосовано закон України (його окремі положення), </w:t>
      </w:r>
      <w:r w:rsidRPr="00061AB3">
        <w:rPr>
          <w:sz w:val="28"/>
          <w:szCs w:val="28"/>
        </w:rPr>
        <w:lastRenderedPageBreak/>
        <w:t>сплинуло не більше трьох місяців (абзац перший частини першої, пункт 2 частини першої статті 77); Конституційний Суд України відмовляє у відкритті конституційного провадження, визнавши конституційну скаргу неприйнятною, якщо зміст і вимоги конституційної скарги є очевидно необґрунтованими (частина четверта статті 77).</w:t>
      </w:r>
    </w:p>
    <w:p w:rsidR="00047003" w:rsidRDefault="00A408CD" w:rsidP="00061AB3">
      <w:pPr>
        <w:pStyle w:val="ab"/>
        <w:spacing w:before="0" w:after="0" w:line="384" w:lineRule="auto"/>
        <w:ind w:firstLine="709"/>
        <w:jc w:val="both"/>
        <w:rPr>
          <w:color w:val="000000"/>
          <w:sz w:val="28"/>
          <w:szCs w:val="28"/>
        </w:rPr>
      </w:pPr>
      <w:r w:rsidRPr="00061AB3">
        <w:rPr>
          <w:color w:val="000000"/>
          <w:sz w:val="28"/>
          <w:szCs w:val="28"/>
        </w:rPr>
        <w:t xml:space="preserve">Товариство використало усі національні засоби юридичного захисту, про що свідчить долучена до матеріалів конституційної скарги копія постанови Верховного Суду від 25 січня 2022 року про залишення без задоволення касаційних скарг Товариства та Комунального підприємства виконавчого органу Київської міської ради (Київської міської державної адміністрації) </w:t>
      </w:r>
      <w:r w:rsidRPr="00061AB3">
        <w:rPr>
          <w:color w:val="000000"/>
          <w:sz w:val="28"/>
          <w:szCs w:val="28"/>
          <w:lang w:eastAsia="uk-UA"/>
        </w:rPr>
        <w:t>„Київреклама“</w:t>
      </w:r>
      <w:r w:rsidRPr="00061AB3">
        <w:rPr>
          <w:color w:val="000000"/>
          <w:sz w:val="28"/>
          <w:szCs w:val="28"/>
        </w:rPr>
        <w:t>, про залишення без змін постанови Північного апеляційного господарського суду.</w:t>
      </w:r>
    </w:p>
    <w:p w:rsidR="00485055" w:rsidRPr="00061AB3" w:rsidRDefault="00485055" w:rsidP="00061AB3">
      <w:pPr>
        <w:pStyle w:val="a8"/>
        <w:spacing w:before="0" w:beforeAutospacing="0" w:after="0" w:afterAutospacing="0" w:line="384" w:lineRule="auto"/>
        <w:ind w:firstLine="709"/>
        <w:jc w:val="both"/>
        <w:rPr>
          <w:color w:val="000000"/>
          <w:sz w:val="28"/>
          <w:szCs w:val="28"/>
        </w:rPr>
      </w:pPr>
      <w:r w:rsidRPr="00061AB3">
        <w:rPr>
          <w:color w:val="000000"/>
          <w:sz w:val="28"/>
          <w:szCs w:val="28"/>
        </w:rPr>
        <w:t>Товариство не навело аргументів щодо невідповідності</w:t>
      </w:r>
      <w:r w:rsidRPr="00061AB3">
        <w:rPr>
          <w:sz w:val="28"/>
          <w:szCs w:val="28"/>
        </w:rPr>
        <w:t xml:space="preserve"> </w:t>
      </w:r>
      <w:r w:rsidR="00671ED1" w:rsidRPr="00061AB3">
        <w:rPr>
          <w:sz w:val="28"/>
          <w:szCs w:val="28"/>
        </w:rPr>
        <w:t xml:space="preserve">положень </w:t>
      </w:r>
      <w:r w:rsidRPr="00061AB3">
        <w:rPr>
          <w:color w:val="000000"/>
          <w:sz w:val="28"/>
          <w:szCs w:val="28"/>
        </w:rPr>
        <w:t>пункту 2 частини першої статті 175, пункту 3 частини першої статті 231</w:t>
      </w:r>
      <w:r w:rsidRPr="00061AB3">
        <w:rPr>
          <w:sz w:val="28"/>
          <w:szCs w:val="28"/>
        </w:rPr>
        <w:t xml:space="preserve"> Кодексу</w:t>
      </w:r>
      <w:r w:rsidRPr="00061AB3">
        <w:rPr>
          <w:color w:val="000000"/>
          <w:sz w:val="28"/>
          <w:szCs w:val="28"/>
        </w:rPr>
        <w:t xml:space="preserve"> Конституції України, а лише процитувало окремі приписи Конституції України, Кодексу, висловило незгоду з застосуванням </w:t>
      </w:r>
      <w:r w:rsidR="0036433E" w:rsidRPr="00061AB3">
        <w:rPr>
          <w:color w:val="000000"/>
          <w:sz w:val="28"/>
          <w:szCs w:val="28"/>
        </w:rPr>
        <w:t xml:space="preserve">цих </w:t>
      </w:r>
      <w:r w:rsidRPr="00061AB3">
        <w:rPr>
          <w:color w:val="000000"/>
          <w:sz w:val="28"/>
          <w:szCs w:val="28"/>
        </w:rPr>
        <w:t>норм судами у їх справі, що не можна вважати обґрунтуванням тверджень щодо неконституційності</w:t>
      </w:r>
      <w:r w:rsidR="0036433E" w:rsidRPr="00061AB3">
        <w:rPr>
          <w:color w:val="000000"/>
          <w:sz w:val="28"/>
          <w:szCs w:val="28"/>
        </w:rPr>
        <w:t xml:space="preserve"> оспорюваних положень</w:t>
      </w:r>
      <w:r w:rsidRPr="00061AB3">
        <w:rPr>
          <w:color w:val="000000"/>
          <w:sz w:val="28"/>
          <w:szCs w:val="28"/>
        </w:rPr>
        <w:t xml:space="preserve"> Кодексу.</w:t>
      </w:r>
    </w:p>
    <w:p w:rsidR="0032115F" w:rsidRPr="00061AB3" w:rsidRDefault="00485055" w:rsidP="00061AB3">
      <w:pPr>
        <w:spacing w:line="384" w:lineRule="auto"/>
        <w:ind w:firstLine="709"/>
        <w:jc w:val="both"/>
        <w:rPr>
          <w:color w:val="000000"/>
          <w:sz w:val="28"/>
          <w:szCs w:val="28"/>
        </w:rPr>
      </w:pPr>
      <w:r w:rsidRPr="00061AB3">
        <w:rPr>
          <w:color w:val="000000"/>
          <w:sz w:val="28"/>
          <w:szCs w:val="28"/>
          <w:lang w:eastAsia="uk-UA"/>
        </w:rPr>
        <w:t xml:space="preserve">Отже, конституційна скарга не відповідає вимогам 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w:t>
      </w:r>
      <w:r w:rsidR="00061AB3">
        <w:rPr>
          <w:color w:val="000000"/>
          <w:sz w:val="28"/>
          <w:szCs w:val="28"/>
        </w:rPr>
        <w:t>з</w:t>
      </w:r>
      <w:r w:rsidR="00061AB3">
        <w:rPr>
          <w:color w:val="000000"/>
          <w:sz w:val="28"/>
          <w:szCs w:val="28"/>
        </w:rPr>
        <w:br/>
      </w:r>
      <w:r w:rsidRPr="00061AB3">
        <w:rPr>
          <w:color w:val="000000"/>
          <w:sz w:val="28"/>
          <w:szCs w:val="28"/>
        </w:rPr>
        <w:t>пунктом 4 статті 62 цього закону – неприйнятність конституційної</w:t>
      </w:r>
      <w:r w:rsidR="00301C4D" w:rsidRPr="00061AB3">
        <w:rPr>
          <w:color w:val="000000"/>
          <w:sz w:val="28"/>
          <w:szCs w:val="28"/>
        </w:rPr>
        <w:t xml:space="preserve"> скарги</w:t>
      </w:r>
      <w:r w:rsidR="0036433E" w:rsidRPr="00061AB3">
        <w:rPr>
          <w:color w:val="000000"/>
          <w:sz w:val="28"/>
          <w:szCs w:val="28"/>
        </w:rPr>
        <w:t>.</w:t>
      </w:r>
    </w:p>
    <w:p w:rsidR="0032115F" w:rsidRPr="00061AB3" w:rsidRDefault="0032115F" w:rsidP="00061AB3">
      <w:pPr>
        <w:spacing w:line="384" w:lineRule="auto"/>
        <w:ind w:firstLine="709"/>
        <w:jc w:val="both"/>
        <w:rPr>
          <w:color w:val="000000"/>
          <w:sz w:val="28"/>
          <w:szCs w:val="28"/>
          <w:lang w:eastAsia="uk-UA"/>
        </w:rPr>
      </w:pPr>
    </w:p>
    <w:p w:rsidR="0032115F" w:rsidRPr="00061AB3" w:rsidRDefault="0032115F" w:rsidP="00061AB3">
      <w:pPr>
        <w:spacing w:line="384" w:lineRule="auto"/>
        <w:ind w:firstLine="709"/>
        <w:jc w:val="both"/>
        <w:rPr>
          <w:color w:val="000000"/>
          <w:sz w:val="28"/>
          <w:szCs w:val="28"/>
          <w:lang w:eastAsia="uk-UA"/>
        </w:rPr>
      </w:pPr>
      <w:r w:rsidRPr="00061AB3">
        <w:rPr>
          <w:color w:val="000000"/>
          <w:sz w:val="28"/>
          <w:szCs w:val="28"/>
          <w:lang w:eastAsia="uk-UA"/>
        </w:rPr>
        <w:t>Ураховуючи викладене та керуючись статтями 147, 151</w:t>
      </w:r>
      <w:r w:rsidRPr="00061AB3">
        <w:rPr>
          <w:color w:val="000000"/>
          <w:sz w:val="28"/>
          <w:szCs w:val="28"/>
          <w:vertAlign w:val="superscript"/>
          <w:lang w:eastAsia="uk-UA"/>
        </w:rPr>
        <w:t>1</w:t>
      </w:r>
      <w:r w:rsidRPr="00061AB3">
        <w:rPr>
          <w:color w:val="000000"/>
          <w:sz w:val="28"/>
          <w:szCs w:val="28"/>
          <w:lang w:eastAsia="uk-UA"/>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rsidR="0032115F" w:rsidRPr="00061AB3" w:rsidRDefault="0032115F" w:rsidP="00061A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jc w:val="center"/>
        <w:rPr>
          <w:rFonts w:ascii="Times New Roman" w:hAnsi="Times New Roman" w:cs="Times New Roman"/>
          <w:b/>
          <w:color w:val="000000"/>
          <w:sz w:val="28"/>
          <w:szCs w:val="28"/>
          <w:lang w:val="uk-UA"/>
        </w:rPr>
      </w:pPr>
      <w:r w:rsidRPr="00061AB3">
        <w:rPr>
          <w:rFonts w:ascii="Times New Roman" w:hAnsi="Times New Roman" w:cs="Times New Roman"/>
          <w:b/>
          <w:color w:val="000000"/>
          <w:sz w:val="28"/>
          <w:szCs w:val="28"/>
          <w:lang w:val="uk-UA"/>
        </w:rPr>
        <w:lastRenderedPageBreak/>
        <w:t>у х в а л и л а:</w:t>
      </w:r>
    </w:p>
    <w:p w:rsidR="0032115F" w:rsidRPr="00061AB3" w:rsidRDefault="0032115F" w:rsidP="00061AB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84" w:lineRule="auto"/>
        <w:ind w:firstLine="709"/>
        <w:jc w:val="center"/>
        <w:rPr>
          <w:rFonts w:ascii="Times New Roman" w:hAnsi="Times New Roman" w:cs="Times New Roman"/>
          <w:b/>
          <w:sz w:val="28"/>
          <w:szCs w:val="28"/>
          <w:lang w:val="uk-UA"/>
        </w:rPr>
      </w:pPr>
    </w:p>
    <w:p w:rsidR="0032115F" w:rsidRPr="00061AB3" w:rsidRDefault="0032115F" w:rsidP="00061AB3">
      <w:pPr>
        <w:spacing w:line="384" w:lineRule="auto"/>
        <w:ind w:firstLine="709"/>
        <w:jc w:val="both"/>
        <w:rPr>
          <w:color w:val="000000"/>
          <w:sz w:val="28"/>
          <w:szCs w:val="28"/>
        </w:rPr>
      </w:pPr>
      <w:r w:rsidRPr="00061AB3">
        <w:rPr>
          <w:sz w:val="28"/>
          <w:szCs w:val="28"/>
        </w:rPr>
        <w:t xml:space="preserve">1. Відмовити у відкритті конституційного провадження у справі за конституційною скаргою </w:t>
      </w:r>
      <w:r w:rsidR="00CE3A89" w:rsidRPr="00061AB3">
        <w:rPr>
          <w:color w:val="000000"/>
          <w:sz w:val="28"/>
          <w:szCs w:val="28"/>
        </w:rPr>
        <w:t>Товариства з обмеженою відповідальністю «Фінансова компанія „Форінт“» щодо відповідності Конституції України (конституційності) положень пункту 2 частини першої статті 175, пункту 3 част</w:t>
      </w:r>
      <w:r w:rsidR="00061AB3">
        <w:rPr>
          <w:color w:val="000000"/>
          <w:sz w:val="28"/>
          <w:szCs w:val="28"/>
        </w:rPr>
        <w:t>ини першої</w:t>
      </w:r>
      <w:r w:rsidR="00061AB3">
        <w:rPr>
          <w:color w:val="000000"/>
          <w:sz w:val="28"/>
          <w:szCs w:val="28"/>
        </w:rPr>
        <w:br/>
      </w:r>
      <w:r w:rsidR="00CE3A89" w:rsidRPr="00061AB3">
        <w:rPr>
          <w:color w:val="000000"/>
          <w:sz w:val="28"/>
          <w:szCs w:val="28"/>
        </w:rPr>
        <w:t xml:space="preserve">статті 231 Господарського процесуального кодексу України </w:t>
      </w:r>
      <w:r w:rsidRPr="00061AB3">
        <w:rPr>
          <w:sz w:val="28"/>
          <w:szCs w:val="28"/>
          <w:lang w:eastAsia="en-US"/>
        </w:rPr>
        <w:t>на підставі пункту 4 статті 62 Закону України „Про Конституційний Суд України“ – неприйнятність конституційної скарги.</w:t>
      </w:r>
    </w:p>
    <w:p w:rsidR="0032115F" w:rsidRPr="00061AB3" w:rsidRDefault="0032115F" w:rsidP="00061AB3">
      <w:pPr>
        <w:pStyle w:val="a7"/>
        <w:spacing w:line="384" w:lineRule="auto"/>
        <w:ind w:left="0" w:firstLine="709"/>
        <w:jc w:val="both"/>
        <w:rPr>
          <w:sz w:val="28"/>
          <w:szCs w:val="28"/>
        </w:rPr>
      </w:pPr>
    </w:p>
    <w:p w:rsidR="0032115F" w:rsidRPr="00061AB3" w:rsidRDefault="0032115F" w:rsidP="00061AB3">
      <w:pPr>
        <w:pStyle w:val="a7"/>
        <w:spacing w:line="384" w:lineRule="auto"/>
        <w:ind w:left="0" w:firstLine="709"/>
        <w:jc w:val="both"/>
        <w:rPr>
          <w:sz w:val="28"/>
          <w:szCs w:val="28"/>
        </w:rPr>
      </w:pPr>
      <w:r w:rsidRPr="00061AB3">
        <w:rPr>
          <w:sz w:val="28"/>
          <w:szCs w:val="28"/>
        </w:rPr>
        <w:t>2. Ця Ухвала є остаточною.</w:t>
      </w:r>
    </w:p>
    <w:p w:rsidR="0032115F" w:rsidRDefault="0032115F" w:rsidP="00061AB3">
      <w:pPr>
        <w:rPr>
          <w:sz w:val="28"/>
          <w:szCs w:val="28"/>
        </w:rPr>
      </w:pPr>
    </w:p>
    <w:p w:rsidR="00061AB3" w:rsidRDefault="00061AB3" w:rsidP="00061AB3">
      <w:pPr>
        <w:rPr>
          <w:sz w:val="28"/>
          <w:szCs w:val="28"/>
        </w:rPr>
      </w:pPr>
    </w:p>
    <w:p w:rsidR="00061AB3" w:rsidRDefault="00061AB3" w:rsidP="00061AB3">
      <w:pPr>
        <w:rPr>
          <w:sz w:val="28"/>
          <w:szCs w:val="28"/>
        </w:rPr>
      </w:pPr>
    </w:p>
    <w:p w:rsidR="006F0C22" w:rsidRPr="006F0C22" w:rsidRDefault="006F0C22" w:rsidP="006F0C22">
      <w:pPr>
        <w:ind w:left="4254"/>
        <w:jc w:val="center"/>
        <w:rPr>
          <w:b/>
          <w:caps/>
          <w:sz w:val="28"/>
          <w:szCs w:val="28"/>
        </w:rPr>
      </w:pPr>
      <w:r w:rsidRPr="006F0C22">
        <w:rPr>
          <w:b/>
          <w:caps/>
          <w:sz w:val="28"/>
          <w:szCs w:val="28"/>
        </w:rPr>
        <w:t>Перша колегія суддів</w:t>
      </w:r>
    </w:p>
    <w:p w:rsidR="006F0C22" w:rsidRPr="006F0C22" w:rsidRDefault="006F0C22" w:rsidP="006F0C22">
      <w:pPr>
        <w:ind w:left="4254"/>
        <w:jc w:val="center"/>
        <w:rPr>
          <w:b/>
          <w:caps/>
          <w:sz w:val="28"/>
          <w:szCs w:val="28"/>
        </w:rPr>
      </w:pPr>
      <w:r w:rsidRPr="006F0C22">
        <w:rPr>
          <w:b/>
          <w:caps/>
          <w:sz w:val="28"/>
          <w:szCs w:val="28"/>
        </w:rPr>
        <w:t>Першого сенату</w:t>
      </w:r>
    </w:p>
    <w:p w:rsidR="00061AB3" w:rsidRPr="006F0C22" w:rsidRDefault="006F0C22" w:rsidP="006F0C22">
      <w:pPr>
        <w:ind w:left="4254"/>
        <w:jc w:val="center"/>
        <w:rPr>
          <w:b/>
          <w:caps/>
          <w:sz w:val="28"/>
          <w:szCs w:val="28"/>
        </w:rPr>
      </w:pPr>
      <w:r w:rsidRPr="006F0C22">
        <w:rPr>
          <w:b/>
          <w:caps/>
          <w:sz w:val="28"/>
          <w:szCs w:val="28"/>
        </w:rPr>
        <w:t>Конституційного Суду України</w:t>
      </w:r>
    </w:p>
    <w:sectPr w:rsidR="00061AB3" w:rsidRPr="006F0C22" w:rsidSect="00061AB3">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F8" w:rsidRDefault="00940EF8">
      <w:r>
        <w:separator/>
      </w:r>
    </w:p>
  </w:endnote>
  <w:endnote w:type="continuationSeparator" w:id="0">
    <w:p w:rsidR="00940EF8" w:rsidRDefault="0094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B3" w:rsidRPr="00061AB3" w:rsidRDefault="00061AB3">
    <w:pPr>
      <w:pStyle w:val="a5"/>
      <w:rPr>
        <w:sz w:val="10"/>
        <w:szCs w:val="10"/>
      </w:rPr>
    </w:pPr>
    <w:r w:rsidRPr="00061AB3">
      <w:rPr>
        <w:sz w:val="10"/>
        <w:szCs w:val="10"/>
      </w:rPr>
      <w:fldChar w:fldCharType="begin"/>
    </w:r>
    <w:r w:rsidRPr="00061AB3">
      <w:rPr>
        <w:sz w:val="10"/>
        <w:szCs w:val="10"/>
      </w:rPr>
      <w:instrText xml:space="preserve"> FILENAME \p \* MERGEFORMAT </w:instrText>
    </w:r>
    <w:r w:rsidRPr="00061AB3">
      <w:rPr>
        <w:sz w:val="10"/>
        <w:szCs w:val="10"/>
      </w:rPr>
      <w:fldChar w:fldCharType="separate"/>
    </w:r>
    <w:r w:rsidR="006F0C22">
      <w:rPr>
        <w:noProof/>
        <w:sz w:val="10"/>
        <w:szCs w:val="10"/>
      </w:rPr>
      <w:t>G:\2022\Suddi\I senat\I koleg\13.docx</w:t>
    </w:r>
    <w:r w:rsidRPr="00061AB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B3" w:rsidRPr="00061AB3" w:rsidRDefault="00061AB3">
    <w:pPr>
      <w:pStyle w:val="a5"/>
      <w:rPr>
        <w:sz w:val="10"/>
        <w:szCs w:val="10"/>
      </w:rPr>
    </w:pPr>
    <w:r w:rsidRPr="00061AB3">
      <w:rPr>
        <w:sz w:val="10"/>
        <w:szCs w:val="10"/>
      </w:rPr>
      <w:fldChar w:fldCharType="begin"/>
    </w:r>
    <w:r w:rsidRPr="00061AB3">
      <w:rPr>
        <w:sz w:val="10"/>
        <w:szCs w:val="10"/>
      </w:rPr>
      <w:instrText xml:space="preserve"> FILENAME \p \* MERGEFORMAT </w:instrText>
    </w:r>
    <w:r w:rsidRPr="00061AB3">
      <w:rPr>
        <w:sz w:val="10"/>
        <w:szCs w:val="10"/>
      </w:rPr>
      <w:fldChar w:fldCharType="separate"/>
    </w:r>
    <w:r w:rsidR="006F0C22">
      <w:rPr>
        <w:noProof/>
        <w:sz w:val="10"/>
        <w:szCs w:val="10"/>
      </w:rPr>
      <w:t>G:\2022\Suddi\I senat\I koleg\13.docx</w:t>
    </w:r>
    <w:r w:rsidRPr="00061AB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F8" w:rsidRDefault="00940EF8">
      <w:r>
        <w:separator/>
      </w:r>
    </w:p>
  </w:footnote>
  <w:footnote w:type="continuationSeparator" w:id="0">
    <w:p w:rsidR="00940EF8" w:rsidRDefault="0094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57132"/>
      <w:docPartObj>
        <w:docPartGallery w:val="Page Numbers (Top of Page)"/>
        <w:docPartUnique/>
      </w:docPartObj>
    </w:sdtPr>
    <w:sdtEndPr>
      <w:rPr>
        <w:sz w:val="28"/>
        <w:szCs w:val="28"/>
      </w:rPr>
    </w:sdtEndPr>
    <w:sdtContent>
      <w:p w:rsidR="00061AB3" w:rsidRPr="00061AB3" w:rsidRDefault="00061AB3">
        <w:pPr>
          <w:pStyle w:val="a3"/>
          <w:jc w:val="center"/>
          <w:rPr>
            <w:sz w:val="28"/>
            <w:szCs w:val="28"/>
          </w:rPr>
        </w:pPr>
        <w:r w:rsidRPr="00061AB3">
          <w:rPr>
            <w:sz w:val="28"/>
            <w:szCs w:val="28"/>
          </w:rPr>
          <w:fldChar w:fldCharType="begin"/>
        </w:r>
        <w:r w:rsidRPr="00061AB3">
          <w:rPr>
            <w:sz w:val="28"/>
            <w:szCs w:val="28"/>
          </w:rPr>
          <w:instrText>PAGE   \* MERGEFORMAT</w:instrText>
        </w:r>
        <w:r w:rsidRPr="00061AB3">
          <w:rPr>
            <w:sz w:val="28"/>
            <w:szCs w:val="28"/>
          </w:rPr>
          <w:fldChar w:fldCharType="separate"/>
        </w:r>
        <w:r w:rsidR="00047003">
          <w:rPr>
            <w:noProof/>
            <w:sz w:val="28"/>
            <w:szCs w:val="28"/>
          </w:rPr>
          <w:t>2</w:t>
        </w:r>
        <w:r w:rsidRPr="00061AB3">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5F"/>
    <w:rsid w:val="0000182F"/>
    <w:rsid w:val="0001001A"/>
    <w:rsid w:val="00010124"/>
    <w:rsid w:val="00047003"/>
    <w:rsid w:val="00053716"/>
    <w:rsid w:val="00061AB3"/>
    <w:rsid w:val="00061F40"/>
    <w:rsid w:val="000E0BF3"/>
    <w:rsid w:val="001078F5"/>
    <w:rsid w:val="001512FD"/>
    <w:rsid w:val="001904E0"/>
    <w:rsid w:val="001E1169"/>
    <w:rsid w:val="002138CC"/>
    <w:rsid w:val="00301C4D"/>
    <w:rsid w:val="0032115F"/>
    <w:rsid w:val="00331929"/>
    <w:rsid w:val="00352126"/>
    <w:rsid w:val="0036433E"/>
    <w:rsid w:val="00376C2C"/>
    <w:rsid w:val="003C05FE"/>
    <w:rsid w:val="00432D7F"/>
    <w:rsid w:val="004754C3"/>
    <w:rsid w:val="00485055"/>
    <w:rsid w:val="00487642"/>
    <w:rsid w:val="004E5CC2"/>
    <w:rsid w:val="004F1031"/>
    <w:rsid w:val="005C7BB3"/>
    <w:rsid w:val="00617A56"/>
    <w:rsid w:val="00671ED1"/>
    <w:rsid w:val="00684606"/>
    <w:rsid w:val="006878F6"/>
    <w:rsid w:val="006E6F78"/>
    <w:rsid w:val="006F0C22"/>
    <w:rsid w:val="00702ABA"/>
    <w:rsid w:val="00711AA5"/>
    <w:rsid w:val="00774A8E"/>
    <w:rsid w:val="007E0B22"/>
    <w:rsid w:val="00836177"/>
    <w:rsid w:val="008E2C99"/>
    <w:rsid w:val="008F5F63"/>
    <w:rsid w:val="00940EF8"/>
    <w:rsid w:val="00944157"/>
    <w:rsid w:val="009610FD"/>
    <w:rsid w:val="00995462"/>
    <w:rsid w:val="00A22784"/>
    <w:rsid w:val="00A408CD"/>
    <w:rsid w:val="00AC7718"/>
    <w:rsid w:val="00B27841"/>
    <w:rsid w:val="00B53AAE"/>
    <w:rsid w:val="00BA6C27"/>
    <w:rsid w:val="00BF3D65"/>
    <w:rsid w:val="00C03919"/>
    <w:rsid w:val="00C3760E"/>
    <w:rsid w:val="00C60463"/>
    <w:rsid w:val="00CE3A89"/>
    <w:rsid w:val="00D01098"/>
    <w:rsid w:val="00D438DC"/>
    <w:rsid w:val="00D52353"/>
    <w:rsid w:val="00D86059"/>
    <w:rsid w:val="00E4275F"/>
    <w:rsid w:val="00EB7DB7"/>
    <w:rsid w:val="00F0798A"/>
    <w:rsid w:val="00F61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ABA37-2BE4-49EF-AC86-369E8AC1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5F"/>
    <w:rPr>
      <w:rFonts w:ascii="Times New Roman" w:eastAsia="Times New Roman" w:hAnsi="Times New Roman"/>
      <w:sz w:val="24"/>
      <w:szCs w:val="24"/>
      <w:lang w:eastAsia="ru-RU"/>
    </w:rPr>
  </w:style>
  <w:style w:type="paragraph" w:styleId="1">
    <w:name w:val="heading 1"/>
    <w:basedOn w:val="a"/>
    <w:next w:val="a"/>
    <w:link w:val="10"/>
    <w:qFormat/>
    <w:rsid w:val="00061AB3"/>
    <w:pPr>
      <w:keepNext/>
      <w:spacing w:line="221" w:lineRule="auto"/>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32115F"/>
    <w:pPr>
      <w:spacing w:before="100" w:beforeAutospacing="1" w:after="100" w:afterAutospacing="1"/>
    </w:pPr>
    <w:rPr>
      <w:rFonts w:ascii="Arial" w:hAnsi="Arial" w:cs="Arial"/>
      <w:b/>
      <w:bCs/>
      <w:color w:val="000080"/>
      <w:sz w:val="20"/>
      <w:szCs w:val="20"/>
      <w:lang w:val="ru-RU"/>
    </w:rPr>
  </w:style>
  <w:style w:type="paragraph" w:styleId="HTML">
    <w:name w:val="HTML Preformatted"/>
    <w:basedOn w:val="a"/>
    <w:link w:val="HTML0"/>
    <w:semiHidden/>
    <w:rsid w:val="00321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semiHidden/>
    <w:rsid w:val="0032115F"/>
    <w:rPr>
      <w:rFonts w:ascii="Courier New" w:eastAsia="Times New Roman" w:hAnsi="Courier New" w:cs="Courier New"/>
      <w:sz w:val="20"/>
      <w:szCs w:val="20"/>
      <w:lang w:val="ru-RU" w:eastAsia="ru-RU"/>
    </w:rPr>
  </w:style>
  <w:style w:type="paragraph" w:customStyle="1" w:styleId="rvps2">
    <w:name w:val="rvps2"/>
    <w:basedOn w:val="a"/>
    <w:rsid w:val="0032115F"/>
    <w:pPr>
      <w:spacing w:before="100" w:beforeAutospacing="1" w:after="100" w:afterAutospacing="1"/>
    </w:pPr>
    <w:rPr>
      <w:rFonts w:eastAsia="Calibri"/>
      <w:lang w:val="ru-RU"/>
    </w:rPr>
  </w:style>
  <w:style w:type="paragraph" w:styleId="a3">
    <w:name w:val="header"/>
    <w:basedOn w:val="a"/>
    <w:link w:val="a4"/>
    <w:unhideWhenUsed/>
    <w:rsid w:val="0032115F"/>
    <w:pPr>
      <w:tabs>
        <w:tab w:val="center" w:pos="4819"/>
        <w:tab w:val="right" w:pos="9639"/>
      </w:tabs>
    </w:pPr>
  </w:style>
  <w:style w:type="character" w:customStyle="1" w:styleId="a4">
    <w:name w:val="Верхній колонтитул Знак"/>
    <w:link w:val="a3"/>
    <w:rsid w:val="0032115F"/>
    <w:rPr>
      <w:rFonts w:ascii="Times New Roman" w:eastAsia="Times New Roman" w:hAnsi="Times New Roman" w:cs="Times New Roman"/>
      <w:lang w:val="uk-UA" w:eastAsia="ru-RU"/>
    </w:rPr>
  </w:style>
  <w:style w:type="paragraph" w:styleId="a5">
    <w:name w:val="footer"/>
    <w:basedOn w:val="a"/>
    <w:link w:val="a6"/>
    <w:uiPriority w:val="99"/>
    <w:unhideWhenUsed/>
    <w:rsid w:val="0032115F"/>
    <w:pPr>
      <w:tabs>
        <w:tab w:val="center" w:pos="4819"/>
        <w:tab w:val="right" w:pos="9639"/>
      </w:tabs>
    </w:pPr>
  </w:style>
  <w:style w:type="character" w:customStyle="1" w:styleId="a6">
    <w:name w:val="Нижній колонтитул Знак"/>
    <w:link w:val="a5"/>
    <w:uiPriority w:val="99"/>
    <w:rsid w:val="0032115F"/>
    <w:rPr>
      <w:rFonts w:ascii="Times New Roman" w:eastAsia="Times New Roman" w:hAnsi="Times New Roman" w:cs="Times New Roman"/>
      <w:lang w:val="uk-UA" w:eastAsia="ru-RU"/>
    </w:rPr>
  </w:style>
  <w:style w:type="paragraph" w:styleId="a7">
    <w:name w:val="List Paragraph"/>
    <w:basedOn w:val="a"/>
    <w:uiPriority w:val="34"/>
    <w:qFormat/>
    <w:rsid w:val="0032115F"/>
    <w:pPr>
      <w:ind w:left="720"/>
      <w:contextualSpacing/>
    </w:pPr>
  </w:style>
  <w:style w:type="paragraph" w:styleId="a8">
    <w:name w:val="Normal (Web)"/>
    <w:basedOn w:val="a"/>
    <w:uiPriority w:val="99"/>
    <w:unhideWhenUsed/>
    <w:rsid w:val="0032115F"/>
    <w:pPr>
      <w:spacing w:before="100" w:beforeAutospacing="1" w:after="100" w:afterAutospacing="1"/>
    </w:pPr>
    <w:rPr>
      <w:lang w:eastAsia="uk-UA"/>
    </w:rPr>
  </w:style>
  <w:style w:type="paragraph" w:styleId="a9">
    <w:name w:val="Body Text Indent"/>
    <w:basedOn w:val="a"/>
    <w:link w:val="aa"/>
    <w:unhideWhenUsed/>
    <w:rsid w:val="0032115F"/>
    <w:pPr>
      <w:ind w:firstLine="720"/>
      <w:jc w:val="both"/>
    </w:pPr>
    <w:rPr>
      <w:rFonts w:eastAsia="Calibri"/>
      <w:b/>
      <w:sz w:val="28"/>
      <w:szCs w:val="20"/>
    </w:rPr>
  </w:style>
  <w:style w:type="character" w:customStyle="1" w:styleId="aa">
    <w:name w:val="Основний текст з відступом Знак"/>
    <w:link w:val="a9"/>
    <w:rsid w:val="0032115F"/>
    <w:rPr>
      <w:rFonts w:ascii="Times New Roman" w:eastAsia="Calibri" w:hAnsi="Times New Roman" w:cs="Times New Roman"/>
      <w:b/>
      <w:sz w:val="28"/>
      <w:szCs w:val="20"/>
      <w:lang w:val="uk-UA" w:eastAsia="ru-RU"/>
    </w:rPr>
  </w:style>
  <w:style w:type="paragraph" w:customStyle="1" w:styleId="ab">
    <w:name w:val="?вичайний (веб)"/>
    <w:basedOn w:val="a"/>
    <w:uiPriority w:val="99"/>
    <w:rsid w:val="008F5F63"/>
    <w:pPr>
      <w:widowControl w:val="0"/>
      <w:autoSpaceDE w:val="0"/>
      <w:autoSpaceDN w:val="0"/>
      <w:adjustRightInd w:val="0"/>
      <w:spacing w:before="99" w:after="99"/>
    </w:pPr>
  </w:style>
  <w:style w:type="paragraph" w:styleId="ac">
    <w:name w:val="Balloon Text"/>
    <w:basedOn w:val="a"/>
    <w:link w:val="ad"/>
    <w:uiPriority w:val="99"/>
    <w:semiHidden/>
    <w:unhideWhenUsed/>
    <w:rsid w:val="00D438DC"/>
    <w:rPr>
      <w:rFonts w:ascii="Segoe UI" w:hAnsi="Segoe UI" w:cs="Segoe UI"/>
      <w:sz w:val="18"/>
      <w:szCs w:val="18"/>
    </w:rPr>
  </w:style>
  <w:style w:type="character" w:customStyle="1" w:styleId="ad">
    <w:name w:val="Текст у виносці Знак"/>
    <w:link w:val="ac"/>
    <w:uiPriority w:val="99"/>
    <w:semiHidden/>
    <w:rsid w:val="00D438DC"/>
    <w:rPr>
      <w:rFonts w:ascii="Segoe UI" w:eastAsia="Times New Roman" w:hAnsi="Segoe UI" w:cs="Segoe UI"/>
      <w:sz w:val="18"/>
      <w:szCs w:val="18"/>
      <w:lang w:eastAsia="ru-RU"/>
    </w:rPr>
  </w:style>
  <w:style w:type="character" w:customStyle="1" w:styleId="10">
    <w:name w:val="Заголовок 1 Знак"/>
    <w:basedOn w:val="a0"/>
    <w:link w:val="1"/>
    <w:rsid w:val="00061AB3"/>
    <w:rPr>
      <w:rFonts w:ascii="Times New Roman" w:eastAsia="Times New Roman"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388B-6345-4431-9462-75975B0C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3373</Words>
  <Characters>1923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Роман</dc:creator>
  <cp:keywords/>
  <dc:description/>
  <cp:lastModifiedBy>Віктор В. Чередниченко</cp:lastModifiedBy>
  <cp:revision>2</cp:revision>
  <cp:lastPrinted>2022-06-01T11:59:00Z</cp:lastPrinted>
  <dcterms:created xsi:type="dcterms:W3CDTF">2023-08-30T07:20:00Z</dcterms:created>
  <dcterms:modified xsi:type="dcterms:W3CDTF">2023-08-30T07:20:00Z</dcterms:modified>
</cp:coreProperties>
</file>