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67" w:rsidRDefault="00917E67" w:rsidP="006844AF">
      <w:pPr>
        <w:spacing w:after="0" w:line="240" w:lineRule="auto"/>
        <w:ind w:right="113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6844AF" w:rsidRDefault="006844AF" w:rsidP="006844AF">
      <w:pPr>
        <w:spacing w:after="0" w:line="240" w:lineRule="auto"/>
        <w:ind w:right="113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6844AF" w:rsidRDefault="006844AF" w:rsidP="006844AF">
      <w:pPr>
        <w:spacing w:after="0" w:line="240" w:lineRule="auto"/>
        <w:ind w:right="113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6844AF" w:rsidRDefault="006844AF" w:rsidP="006844AF">
      <w:pPr>
        <w:spacing w:after="0" w:line="240" w:lineRule="auto"/>
        <w:ind w:right="113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6844AF" w:rsidRDefault="006844AF" w:rsidP="006844AF">
      <w:pPr>
        <w:spacing w:after="0" w:line="240" w:lineRule="auto"/>
        <w:ind w:right="113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6844AF" w:rsidRDefault="006844AF" w:rsidP="006844AF">
      <w:pPr>
        <w:spacing w:after="0" w:line="240" w:lineRule="auto"/>
        <w:ind w:right="113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6844AF" w:rsidRDefault="006844AF" w:rsidP="006844AF">
      <w:pPr>
        <w:spacing w:after="0" w:line="240" w:lineRule="auto"/>
        <w:ind w:right="113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6844AF" w:rsidRDefault="006844AF" w:rsidP="006844AF">
      <w:pPr>
        <w:spacing w:after="0" w:line="240" w:lineRule="auto"/>
        <w:ind w:right="113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6844AF" w:rsidRDefault="006844AF" w:rsidP="006844AF">
      <w:pPr>
        <w:spacing w:after="0" w:line="240" w:lineRule="auto"/>
        <w:ind w:right="113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6844AF" w:rsidRPr="006844AF" w:rsidRDefault="006844AF" w:rsidP="006844AF">
      <w:pPr>
        <w:spacing w:after="0" w:line="240" w:lineRule="auto"/>
        <w:ind w:right="113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A058A7" w:rsidRDefault="0031081C" w:rsidP="006844AF">
      <w:pPr>
        <w:tabs>
          <w:tab w:val="center" w:pos="4678"/>
        </w:tabs>
        <w:spacing w:after="0"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4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 відмову у відкритті </w:t>
      </w:r>
      <w:r w:rsidRPr="00684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конституційного провадження у справі за </w:t>
      </w:r>
      <w:r w:rsidRPr="006844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конституційною скаргою </w:t>
      </w:r>
      <w:r w:rsidR="00E04B5D" w:rsidRPr="006844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Трескота П</w:t>
      </w:r>
      <w:r w:rsidR="00C32F2C" w:rsidRPr="006844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етра Дмитровича</w:t>
      </w:r>
      <w:r w:rsidRPr="006844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щодо відповідності Конституції Укра</w:t>
      </w:r>
      <w:r w:rsidR="001B7EA7" w:rsidRPr="006844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їни (конституційності) положень</w:t>
      </w:r>
      <w:r w:rsidRPr="006844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32F2C" w:rsidRPr="006844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частини другої статті 109</w:t>
      </w:r>
      <w:r w:rsidR="006844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="006844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32F2C" w:rsidRPr="006844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Житлового кодексу Української РСР</w:t>
      </w:r>
    </w:p>
    <w:p w:rsidR="0031081C" w:rsidRPr="006844AF" w:rsidRDefault="0031081C" w:rsidP="006844AF">
      <w:pPr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31081C" w:rsidRPr="006844AF" w:rsidRDefault="0031081C" w:rsidP="00310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К и ї в</w:t>
      </w:r>
      <w:r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Справа </w:t>
      </w:r>
      <w:r w:rsidR="00A058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3-</w:t>
      </w:r>
      <w:r w:rsidR="00C32F2C"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248</w:t>
      </w:r>
      <w:r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/2020(</w:t>
      </w:r>
      <w:r w:rsidR="00C32F2C"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593</w:t>
      </w:r>
      <w:r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/20)</w:t>
      </w:r>
    </w:p>
    <w:p w:rsidR="0031081C" w:rsidRPr="006844AF" w:rsidRDefault="00467C6A" w:rsidP="00310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14</w:t>
      </w:r>
      <w:r w:rsidR="00C32F2C"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січня 2021</w:t>
      </w:r>
      <w:r w:rsidR="0031081C"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</w:p>
    <w:p w:rsidR="00A058A7" w:rsidRDefault="00A058A7" w:rsidP="00310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bookmarkStart w:id="0" w:name="_GoBack"/>
      <w:r w:rsidR="00467C6A"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4-1</w:t>
      </w:r>
      <w:r w:rsidR="00C32F2C"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(ІІ)</w:t>
      </w:r>
      <w:bookmarkEnd w:id="0"/>
      <w:r w:rsidR="00C32F2C"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31081C" w:rsidRPr="006844AF" w:rsidRDefault="0031081C" w:rsidP="00310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081C" w:rsidRPr="006844AF" w:rsidRDefault="0031081C" w:rsidP="0031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Перша колегія суддів Другого</w:t>
      </w:r>
      <w:r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сенату </w:t>
      </w:r>
      <w:r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Конституційного Суду України у складі:</w:t>
      </w:r>
    </w:p>
    <w:p w:rsidR="0031081C" w:rsidRPr="006844AF" w:rsidRDefault="0031081C" w:rsidP="0031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1081C" w:rsidRPr="006844AF" w:rsidRDefault="0031081C" w:rsidP="0031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Мойсика Володимира Романовича – головуючого‚ доповідача,</w:t>
      </w:r>
    </w:p>
    <w:p w:rsidR="0031081C" w:rsidRPr="006844AF" w:rsidRDefault="001B7EA7" w:rsidP="0031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Лемака Василя Васильовича</w:t>
      </w:r>
      <w:r w:rsidR="0031081C"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</w:p>
    <w:p w:rsidR="00A058A7" w:rsidRDefault="0031081C" w:rsidP="00310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Юровської Галини Валентинівни,</w:t>
      </w:r>
    </w:p>
    <w:p w:rsidR="006844AF" w:rsidRDefault="006844AF" w:rsidP="006844A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081C" w:rsidRPr="006844AF" w:rsidRDefault="0031081C" w:rsidP="006844AF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розглянула на засіданні питання про відкриття конституційного провадження </w:t>
      </w:r>
      <w:r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справі за </w:t>
      </w:r>
      <w:r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конституційною скаргою </w:t>
      </w:r>
      <w:r w:rsidR="001B7EA7"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Трескота Петра Дмитро</w:t>
      </w:r>
      <w:r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вича щодо відповідності Конституції України (конституційності) положен</w:t>
      </w:r>
      <w:r w:rsidR="001B7EA7"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 </w:t>
      </w:r>
      <w:r w:rsidR="001B7EA7"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частини другої статті 109 Житлового кодексу Української РСР</w:t>
      </w:r>
      <w:r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1081C" w:rsidRPr="006844AF" w:rsidRDefault="0031081C" w:rsidP="006844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081C" w:rsidRPr="006844AF" w:rsidRDefault="0031081C" w:rsidP="006844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Заслухавши суддю-доповідача Мойсика В.Р. та дослідивши матеріали справи, Перша колегія суддів Другого сенату Конституційного Суду України</w:t>
      </w:r>
    </w:p>
    <w:p w:rsidR="0031081C" w:rsidRPr="006844AF" w:rsidRDefault="0031081C" w:rsidP="006844A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1081C" w:rsidRPr="006844AF" w:rsidRDefault="0031081C" w:rsidP="006844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84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 с т а н о в и л а:</w:t>
      </w:r>
    </w:p>
    <w:p w:rsidR="006844AF" w:rsidRDefault="006844AF" w:rsidP="006844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61103" w:rsidRPr="006844AF" w:rsidRDefault="0031081C" w:rsidP="006844A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До Конституційного Суду України звернувся </w:t>
      </w:r>
      <w:r w:rsidR="001B7EA7"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Трескот П</w:t>
      </w:r>
      <w:r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1B7EA7"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Д.</w:t>
      </w:r>
      <w:r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із клопотанням визнати таким</w:t>
      </w:r>
      <w:r w:rsidR="001B7EA7"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и, що не відповідають</w:t>
      </w:r>
      <w:r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A463F"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частинам першій, другій, </w:t>
      </w:r>
      <w:r w:rsidR="004A463F"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третій, шостій статті 41 </w:t>
      </w:r>
      <w:r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Конституції України (є неконституційним</w:t>
      </w:r>
      <w:r w:rsidR="001B7EA7"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), </w:t>
      </w:r>
      <w:r w:rsidR="00E178A6"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положен</w:t>
      </w:r>
      <w:r w:rsidR="004A463F"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</w:t>
      </w:r>
      <w:r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178A6" w:rsidRPr="006844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частини другої статті 109 </w:t>
      </w:r>
      <w:r w:rsidR="00E178A6"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Житлового кодексу Української РСР (далі – Кодекс)</w:t>
      </w:r>
      <w:r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178A6"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якими передбачено, що громадянам, яких виселяють з жилих приміщень, одночасн</w:t>
      </w:r>
      <w:r w:rsidR="00061103"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E178A6"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надається інше постійне жиле приміщення, за винятком виселення громадян при зверненні стягнення на жилі приміщення, що </w:t>
      </w:r>
      <w:r w:rsidR="00061103"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були придбані ними за рахунок кредиту (позики) банку чи іншої особи, повернення якого забезпечене іпотекою відповідного жилого приміщення; постійне жиле приміщення, що надається особі, яку в</w:t>
      </w:r>
      <w:r w:rsidR="00E04B5D"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иселяють, повинно бути зазначено</w:t>
      </w:r>
      <w:r w:rsidR="00061103"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рішенні суду.</w:t>
      </w:r>
    </w:p>
    <w:p w:rsidR="008F521B" w:rsidRPr="006844AF" w:rsidRDefault="0031081C" w:rsidP="006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844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Із матеріалів справи вбачається, що </w:t>
      </w:r>
      <w:r w:rsidR="003704D6" w:rsidRPr="006844AF">
        <w:rPr>
          <w:rFonts w:ascii="Times New Roman" w:hAnsi="Times New Roman" w:cs="Times New Roman"/>
          <w:sz w:val="28"/>
          <w:szCs w:val="28"/>
          <w:lang w:val="uk-UA" w:eastAsia="uk-UA"/>
        </w:rPr>
        <w:t>Трескот П.Д.</w:t>
      </w:r>
      <w:r w:rsidRPr="006844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57E2F" w:rsidRPr="006844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підставі </w:t>
      </w:r>
      <w:r w:rsidR="003D5B19" w:rsidRPr="006844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укладеного </w:t>
      </w:r>
      <w:r w:rsidR="000D1283" w:rsidRPr="006844AF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 w:rsidR="003D5B19" w:rsidRPr="006844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30 червня 2016 року </w:t>
      </w:r>
      <w:r w:rsidR="00857E2F" w:rsidRPr="006844AF">
        <w:rPr>
          <w:rFonts w:ascii="Times New Roman" w:hAnsi="Times New Roman" w:cs="Times New Roman"/>
          <w:sz w:val="28"/>
          <w:szCs w:val="28"/>
          <w:lang w:val="uk-UA" w:eastAsia="uk-UA"/>
        </w:rPr>
        <w:t>договору купівлі-продажу придбав у власність квартиру</w:t>
      </w:r>
      <w:r w:rsidR="00351531" w:rsidRPr="006844AF">
        <w:rPr>
          <w:rFonts w:ascii="Times New Roman" w:hAnsi="Times New Roman" w:cs="Times New Roman"/>
          <w:sz w:val="28"/>
          <w:szCs w:val="28"/>
          <w:lang w:val="uk-UA" w:eastAsia="uk-UA"/>
        </w:rPr>
        <w:t>, в якій</w:t>
      </w:r>
      <w:r w:rsidR="008F521B" w:rsidRPr="006844AF">
        <w:rPr>
          <w:rFonts w:ascii="Times New Roman" w:hAnsi="Times New Roman" w:cs="Times New Roman"/>
          <w:sz w:val="28"/>
          <w:szCs w:val="28"/>
          <w:lang w:val="uk-UA" w:eastAsia="uk-UA"/>
        </w:rPr>
        <w:t>, як виявилось</w:t>
      </w:r>
      <w:r w:rsidR="0035115E" w:rsidRPr="006844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після цього</w:t>
      </w:r>
      <w:r w:rsidR="008F521B" w:rsidRPr="006844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без згоди та відома попереднього власника були </w:t>
      </w:r>
      <w:r w:rsidR="00857E2F" w:rsidRPr="006844AF">
        <w:rPr>
          <w:rFonts w:ascii="Times New Roman" w:hAnsi="Times New Roman" w:cs="Times New Roman"/>
          <w:sz w:val="28"/>
          <w:szCs w:val="28"/>
          <w:lang w:val="uk-UA" w:eastAsia="uk-UA"/>
        </w:rPr>
        <w:t>зареєстровані</w:t>
      </w:r>
      <w:r w:rsidR="008F521B" w:rsidRPr="006844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чотири особи, двоє з яких – малолітні діти</w:t>
      </w:r>
      <w:r w:rsidR="003810EC" w:rsidRPr="006844AF">
        <w:rPr>
          <w:rFonts w:ascii="Times New Roman" w:hAnsi="Times New Roman" w:cs="Times New Roman"/>
          <w:sz w:val="28"/>
          <w:szCs w:val="28"/>
          <w:lang w:val="uk-UA" w:eastAsia="uk-UA"/>
        </w:rPr>
        <w:t>; добровільно знятися з реєстрації ці особи не бажали.</w:t>
      </w:r>
      <w:r w:rsidR="008F521B" w:rsidRPr="006844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липні 2016 року Трескот П.Д. звернувся до суду з позовом</w:t>
      </w:r>
      <w:r w:rsidR="003D5B19" w:rsidRPr="006844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 усунення перешкод, виселення </w:t>
      </w:r>
      <w:r w:rsidR="000D1283" w:rsidRPr="006844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вказаних осіб </w:t>
      </w:r>
      <w:r w:rsidR="003D5B19" w:rsidRPr="006844AF">
        <w:rPr>
          <w:rFonts w:ascii="Times New Roman" w:hAnsi="Times New Roman" w:cs="Times New Roman"/>
          <w:sz w:val="28"/>
          <w:szCs w:val="28"/>
          <w:lang w:val="uk-UA" w:eastAsia="uk-UA"/>
        </w:rPr>
        <w:t>без надання іншого житлового приміщення та зняття з реєстрації.</w:t>
      </w:r>
    </w:p>
    <w:p w:rsidR="00987A69" w:rsidRPr="006844AF" w:rsidRDefault="00351531" w:rsidP="006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844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Дрогобицький міськрайонний суд Львівської області рішенням </w:t>
      </w:r>
      <w:r w:rsidR="000D1283" w:rsidRPr="006844AF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 w:rsidRPr="006844AF">
        <w:rPr>
          <w:rFonts w:ascii="Times New Roman" w:hAnsi="Times New Roman" w:cs="Times New Roman"/>
          <w:sz w:val="28"/>
          <w:szCs w:val="28"/>
          <w:lang w:val="uk-UA" w:eastAsia="uk-UA"/>
        </w:rPr>
        <w:t>від 23 березня 2018 року, залишеним без змін постановою Львівського апеляційного суду від 21 травня</w:t>
      </w:r>
      <w:r w:rsidR="0035115E" w:rsidRPr="006844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2019 року,</w:t>
      </w:r>
      <w:r w:rsidR="000D1283" w:rsidRPr="006844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844AF">
        <w:rPr>
          <w:rFonts w:ascii="Times New Roman" w:hAnsi="Times New Roman" w:cs="Times New Roman"/>
          <w:sz w:val="28"/>
          <w:szCs w:val="28"/>
          <w:lang w:val="uk-UA" w:eastAsia="uk-UA"/>
        </w:rPr>
        <w:t>задовольнив позов Тр</w:t>
      </w:r>
      <w:r w:rsidR="0035115E" w:rsidRPr="006844AF">
        <w:rPr>
          <w:rFonts w:ascii="Times New Roman" w:hAnsi="Times New Roman" w:cs="Times New Roman"/>
          <w:sz w:val="28"/>
          <w:szCs w:val="28"/>
          <w:lang w:val="uk-UA" w:eastAsia="uk-UA"/>
        </w:rPr>
        <w:t>ескота П.</w:t>
      </w:r>
      <w:r w:rsidR="00E04B5D" w:rsidRPr="006844AF">
        <w:rPr>
          <w:rFonts w:ascii="Times New Roman" w:hAnsi="Times New Roman" w:cs="Times New Roman"/>
          <w:sz w:val="28"/>
          <w:szCs w:val="28"/>
          <w:lang w:val="uk-UA" w:eastAsia="uk-UA"/>
        </w:rPr>
        <w:t>Д.</w:t>
      </w:r>
    </w:p>
    <w:p w:rsidR="00987A69" w:rsidRPr="006844AF" w:rsidRDefault="00987A69" w:rsidP="006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4AF">
        <w:rPr>
          <w:rFonts w:ascii="Times New Roman" w:hAnsi="Times New Roman" w:cs="Times New Roman"/>
          <w:sz w:val="28"/>
          <w:szCs w:val="28"/>
          <w:lang w:val="uk-UA"/>
        </w:rPr>
        <w:t>Задовольняючи позовну заяву</w:t>
      </w:r>
      <w:r w:rsidR="00E04B5D" w:rsidRPr="006844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 суди першої та апеляційної інстанцій </w:t>
      </w:r>
      <w:r w:rsidR="00E04B5D" w:rsidRPr="006844AF">
        <w:rPr>
          <w:rFonts w:ascii="Times New Roman" w:hAnsi="Times New Roman" w:cs="Times New Roman"/>
          <w:sz w:val="28"/>
          <w:szCs w:val="28"/>
          <w:lang w:val="uk-UA"/>
        </w:rPr>
        <w:t>керувались тим</w:t>
      </w:r>
      <w:r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, що відповідачі не надали </w:t>
      </w:r>
      <w:r w:rsidR="00E04B5D" w:rsidRPr="006844AF">
        <w:rPr>
          <w:rFonts w:ascii="Times New Roman" w:hAnsi="Times New Roman" w:cs="Times New Roman"/>
          <w:sz w:val="28"/>
          <w:szCs w:val="28"/>
          <w:lang w:val="uk-UA"/>
        </w:rPr>
        <w:t>жодних</w:t>
      </w:r>
      <w:r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 доказів правомірності ї</w:t>
      </w:r>
      <w:r w:rsidR="00E04B5D" w:rsidRPr="006844AF">
        <w:rPr>
          <w:rFonts w:ascii="Times New Roman" w:hAnsi="Times New Roman" w:cs="Times New Roman"/>
          <w:sz w:val="28"/>
          <w:szCs w:val="28"/>
          <w:lang w:val="uk-UA"/>
        </w:rPr>
        <w:t>х реєстрації у спірній квартирі;</w:t>
      </w:r>
      <w:r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 реєстрація останніх у вказаній квартирі позбавляє позивача можливості реалізувати своє право власності у повному обсязі, а саме порушує його право користування цим житлом.</w:t>
      </w:r>
    </w:p>
    <w:p w:rsidR="00A058A7" w:rsidRDefault="0031081C" w:rsidP="006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Верховний Суд </w:t>
      </w:r>
      <w:r w:rsidR="00964864"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у складі колегії суддів Першої судової палати Касаційного цивільного суду постановою від 15 липня 2020 року скасував рішення судів першої та апеляційної інстанцій, </w:t>
      </w:r>
      <w:r w:rsidR="00E23BD2" w:rsidRPr="006844AF">
        <w:rPr>
          <w:rFonts w:ascii="Times New Roman" w:hAnsi="Times New Roman" w:cs="Times New Roman"/>
          <w:sz w:val="28"/>
          <w:szCs w:val="28"/>
          <w:lang w:val="uk-UA"/>
        </w:rPr>
        <w:t>обґрунтувавши свою позицію тим</w:t>
      </w:r>
      <w:r w:rsidR="00964864"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E04B5D" w:rsidRPr="006844AF">
        <w:rPr>
          <w:rFonts w:ascii="Times New Roman" w:hAnsi="Times New Roman" w:cs="Times New Roman"/>
          <w:sz w:val="28"/>
          <w:szCs w:val="28"/>
          <w:lang w:val="uk-UA"/>
        </w:rPr>
        <w:t>згідно з частиною другою</w:t>
      </w:r>
      <w:r w:rsidR="00964864"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 статті 109 Кодексу виселення із житла може відбуватись з одночасним наданням іншого рівнозначного приміщення.</w:t>
      </w:r>
    </w:p>
    <w:p w:rsidR="005C4872" w:rsidRPr="006844AF" w:rsidRDefault="0031081C" w:rsidP="006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4A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Автор клопотання вважає, що </w:t>
      </w:r>
      <w:r w:rsidR="00E71181"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частини другої статті 109 Кодексу </w:t>
      </w:r>
      <w:r w:rsidR="005C4872"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позбавляють його можливості реалізувати право власності </w:t>
      </w:r>
      <w:r w:rsidR="00EE21FC"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на житло </w:t>
      </w:r>
      <w:r w:rsidR="005C4872" w:rsidRPr="006844AF">
        <w:rPr>
          <w:rFonts w:ascii="Times New Roman" w:hAnsi="Times New Roman" w:cs="Times New Roman"/>
          <w:sz w:val="28"/>
          <w:szCs w:val="28"/>
          <w:lang w:val="uk-UA"/>
        </w:rPr>
        <w:t>у повному обсязі, а саме порушують його право користування житлом.</w:t>
      </w:r>
    </w:p>
    <w:p w:rsidR="0031081C" w:rsidRPr="006844AF" w:rsidRDefault="0031081C" w:rsidP="006844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31081C" w:rsidRDefault="0031081C" w:rsidP="006844A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6844A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2. 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31081C" w:rsidRPr="006844AF" w:rsidRDefault="0031081C" w:rsidP="006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77 Закону України „Про Конституційний Суд України“ конституційна скарга вважається прийнятною, якщо з дня набрання законної сили остаточним судовим рішенням, у якому застосовано закон України (його окремі положення), сплинуло не більше трьох місяців (пункт 2 </w:t>
      </w:r>
      <w:r w:rsidRPr="006844AF">
        <w:rPr>
          <w:rFonts w:ascii="Times New Roman" w:hAnsi="Times New Roman" w:cs="Times New Roman"/>
          <w:sz w:val="28"/>
          <w:szCs w:val="28"/>
          <w:lang w:val="uk-UA"/>
        </w:rPr>
        <w:br/>
        <w:t>частини першої); як виняток, конституційна скарга може бути прийнята поза межами вимог, установлених пунктом 2 частини першої цієї статті, якщо Конституційний Суд України визнає її розгляд необхідним із мотивів суспільного інтересу (частина друга); якщо суб’єкт права на конституційну скаргу пропустив строк подання конституційної скарги у зв’язку з тим, що не мав повного тексту судового рішення, він має право висловити у конституційній скарзі клопотання про поновлення пропущеного строку (частина третя).</w:t>
      </w:r>
    </w:p>
    <w:p w:rsidR="0031081C" w:rsidRPr="006844AF" w:rsidRDefault="00082BDE" w:rsidP="006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4AF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31081C"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 аналізу конституційної скарги вбачається, що остаточним судовим рішенням у справі </w:t>
      </w:r>
      <w:r w:rsidR="005417B0" w:rsidRPr="006844AF">
        <w:rPr>
          <w:rFonts w:ascii="Times New Roman" w:hAnsi="Times New Roman" w:cs="Times New Roman"/>
          <w:sz w:val="28"/>
          <w:szCs w:val="28"/>
          <w:lang w:val="uk-UA"/>
        </w:rPr>
        <w:t>Трескота П.Д</w:t>
      </w:r>
      <w:r w:rsidR="0031081C"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. є </w:t>
      </w:r>
      <w:r w:rsidR="0031081C" w:rsidRPr="006844A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постанова </w:t>
      </w:r>
      <w:r w:rsidR="0031081C"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Верховного Суду у складі колегії суддів </w:t>
      </w:r>
      <w:r w:rsidR="005417B0"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Першої судової палати </w:t>
      </w:r>
      <w:r w:rsidR="0031081C"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Касаційного </w:t>
      </w:r>
      <w:r w:rsidR="005417B0" w:rsidRPr="006844AF">
        <w:rPr>
          <w:rFonts w:ascii="Times New Roman" w:hAnsi="Times New Roman" w:cs="Times New Roman"/>
          <w:sz w:val="28"/>
          <w:szCs w:val="28"/>
          <w:lang w:val="uk-UA"/>
        </w:rPr>
        <w:t>цивіль</w:t>
      </w:r>
      <w:r w:rsidR="0031081C" w:rsidRPr="006844AF">
        <w:rPr>
          <w:rFonts w:ascii="Times New Roman" w:hAnsi="Times New Roman" w:cs="Times New Roman"/>
          <w:sz w:val="28"/>
          <w:szCs w:val="28"/>
          <w:lang w:val="uk-UA"/>
        </w:rPr>
        <w:t>ного суду від 1</w:t>
      </w:r>
      <w:r w:rsidR="005417B0"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5 липня </w:t>
      </w:r>
      <w:r w:rsidRPr="006844AF">
        <w:rPr>
          <w:rFonts w:ascii="Times New Roman" w:hAnsi="Times New Roman" w:cs="Times New Roman"/>
          <w:sz w:val="28"/>
          <w:szCs w:val="28"/>
          <w:lang w:val="uk-UA"/>
        </w:rPr>
        <w:br/>
      </w:r>
      <w:r w:rsidR="005417B0" w:rsidRPr="006844AF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31081C"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31081C" w:rsidRPr="006844AF" w:rsidRDefault="0031081C" w:rsidP="006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Конституційна скарга </w:t>
      </w:r>
      <w:r w:rsidR="00A71B7F" w:rsidRPr="006844AF">
        <w:rPr>
          <w:rFonts w:ascii="Times New Roman" w:hAnsi="Times New Roman" w:cs="Times New Roman"/>
          <w:sz w:val="28"/>
          <w:szCs w:val="28"/>
          <w:lang w:val="uk-UA"/>
        </w:rPr>
        <w:t>Трескота П.Д.</w:t>
      </w:r>
      <w:r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 надійшла до Конституційного Суду України </w:t>
      </w:r>
      <w:r w:rsidR="00075487" w:rsidRPr="006844AF">
        <w:rPr>
          <w:rFonts w:ascii="Times New Roman" w:hAnsi="Times New Roman" w:cs="Times New Roman"/>
          <w:sz w:val="28"/>
          <w:szCs w:val="28"/>
          <w:lang w:val="uk-UA"/>
        </w:rPr>
        <w:t>28 грудня</w:t>
      </w:r>
      <w:r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 2020 року, тобто строк її подання пропущено. Водночас </w:t>
      </w:r>
      <w:r w:rsidR="00075487" w:rsidRPr="006844AF">
        <w:rPr>
          <w:rFonts w:ascii="Times New Roman" w:hAnsi="Times New Roman" w:cs="Times New Roman"/>
          <w:sz w:val="28"/>
          <w:szCs w:val="28"/>
          <w:lang w:val="uk-UA"/>
        </w:rPr>
        <w:t>Трескот П.Д.</w:t>
      </w:r>
      <w:r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 не заявив клопотання щодо поновлення пропущеного строку подання конституційної скарги.</w:t>
      </w:r>
    </w:p>
    <w:p w:rsidR="0031081C" w:rsidRPr="006844AF" w:rsidRDefault="0031081C" w:rsidP="006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Отже, автор клопотання не дотримав вимог пункту 2 частини першої </w:t>
      </w:r>
      <w:r w:rsidRPr="006844AF">
        <w:rPr>
          <w:rFonts w:ascii="Times New Roman" w:hAnsi="Times New Roman" w:cs="Times New Roman"/>
          <w:sz w:val="28"/>
          <w:szCs w:val="28"/>
          <w:lang w:val="uk-UA"/>
        </w:rPr>
        <w:br/>
        <w:t>статті 77 Закону України „Про Конституційний Суд України“, а його конституційна скарга є такою, що подана з порушенням встановленого цим законом строку.</w:t>
      </w:r>
    </w:p>
    <w:p w:rsidR="0031081C" w:rsidRPr="006844AF" w:rsidRDefault="0031081C" w:rsidP="006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4AF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Наведене є підставою для відмови у відкритті конституційного провадження у справі згідно з пунктом 4 статті 62 Закону України</w:t>
      </w:r>
      <w:r w:rsidRPr="006844AF">
        <w:rPr>
          <w:rFonts w:ascii="Times New Roman" w:hAnsi="Times New Roman" w:cs="Times New Roman"/>
          <w:sz w:val="28"/>
          <w:szCs w:val="28"/>
          <w:lang w:val="uk-UA"/>
        </w:rPr>
        <w:br/>
        <w:t>„Про Конституційний Суд України“ – неприйнятність конституційної скарги.</w:t>
      </w:r>
    </w:p>
    <w:p w:rsidR="0031081C" w:rsidRPr="006844AF" w:rsidRDefault="0031081C" w:rsidP="006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1081C" w:rsidRPr="006844AF" w:rsidRDefault="00082BDE" w:rsidP="006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844AF"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="0031081C" w:rsidRPr="006844AF">
        <w:rPr>
          <w:rFonts w:ascii="Times New Roman" w:hAnsi="Times New Roman" w:cs="Times New Roman"/>
          <w:sz w:val="28"/>
          <w:szCs w:val="28"/>
          <w:lang w:val="uk-UA" w:eastAsia="uk-UA"/>
        </w:rPr>
        <w:t>раховуючи викладене та керуючись статтями 147, 151</w:t>
      </w:r>
      <w:r w:rsidR="0031081C" w:rsidRPr="006844AF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1</w:t>
      </w:r>
      <w:r w:rsidR="0031081C" w:rsidRPr="006844AF">
        <w:rPr>
          <w:rFonts w:ascii="Times New Roman" w:hAnsi="Times New Roman" w:cs="Times New Roman"/>
          <w:sz w:val="28"/>
          <w:szCs w:val="28"/>
          <w:lang w:val="uk-UA" w:eastAsia="uk-UA"/>
        </w:rPr>
        <w:t>, 153 Конституції України, на підставі статей 7, 32, 37, 55, 56, 62, 77, 86 Закону України „Про Конституційний Суд України“ та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31081C" w:rsidRPr="006844AF" w:rsidRDefault="0031081C" w:rsidP="006844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081C" w:rsidRPr="006844AF" w:rsidRDefault="0031081C" w:rsidP="006844A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44AF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6844AF" w:rsidRDefault="006844AF" w:rsidP="006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081C" w:rsidRPr="006844AF" w:rsidRDefault="0031081C" w:rsidP="006844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075487" w:rsidRPr="006844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Трескота Петра Дмитровича щодо відповідності Конституції України (конституційності) положень частини другої статті 109 Житлового кодексу Української РСР</w:t>
      </w:r>
      <w:r w:rsidRPr="006844AF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пункту 4 статті 62 Закону України „Про Конституційний Суд України“ – неприйнятність конституційної скарги.</w:t>
      </w:r>
    </w:p>
    <w:p w:rsidR="0031081C" w:rsidRPr="006844AF" w:rsidRDefault="0031081C" w:rsidP="006844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1081C" w:rsidRDefault="0031081C" w:rsidP="006844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844AF">
        <w:rPr>
          <w:rFonts w:ascii="Times New Roman" w:hAnsi="Times New Roman" w:cs="Times New Roman"/>
          <w:sz w:val="28"/>
          <w:szCs w:val="28"/>
          <w:lang w:val="uk-UA" w:eastAsia="uk-UA"/>
        </w:rPr>
        <w:t>2. Ухвала Першої колегії суддів Другого сенату Конституційного Суду України є остаточною.</w:t>
      </w:r>
    </w:p>
    <w:p w:rsidR="006844AF" w:rsidRDefault="006844AF" w:rsidP="006844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844AF" w:rsidRDefault="006844AF" w:rsidP="006844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E6AE1" w:rsidRDefault="00AE6AE1" w:rsidP="006844A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E6AE1" w:rsidRPr="00AE6AE1" w:rsidRDefault="00AE6AE1" w:rsidP="00AE6AE1">
      <w:pPr>
        <w:spacing w:after="0" w:line="240" w:lineRule="auto"/>
        <w:ind w:left="2977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AE6AE1">
        <w:rPr>
          <w:rFonts w:ascii="Times New Roman" w:hAnsi="Times New Roman" w:cs="Times New Roman"/>
          <w:b/>
          <w:caps/>
          <w:sz w:val="28"/>
          <w:szCs w:val="28"/>
          <w:lang w:val="ru-RU"/>
        </w:rPr>
        <w:t>перша колегія суддів</w:t>
      </w:r>
    </w:p>
    <w:p w:rsidR="00AE6AE1" w:rsidRPr="00AE6AE1" w:rsidRDefault="00AE6AE1" w:rsidP="00AE6AE1">
      <w:pPr>
        <w:spacing w:after="0" w:line="240" w:lineRule="auto"/>
        <w:ind w:left="2977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AE6AE1">
        <w:rPr>
          <w:rFonts w:ascii="Times New Roman" w:hAnsi="Times New Roman" w:cs="Times New Roman"/>
          <w:b/>
          <w:caps/>
          <w:sz w:val="28"/>
          <w:szCs w:val="28"/>
          <w:lang w:val="ru-RU"/>
        </w:rPr>
        <w:t>Другого сенату</w:t>
      </w:r>
    </w:p>
    <w:p w:rsidR="00AE6AE1" w:rsidRPr="00AE6AE1" w:rsidRDefault="00AE6AE1" w:rsidP="00AE6AE1">
      <w:pPr>
        <w:spacing w:after="0" w:line="240" w:lineRule="auto"/>
        <w:ind w:left="2977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AE6AE1">
        <w:rPr>
          <w:rFonts w:ascii="Times New Roman" w:hAnsi="Times New Roman" w:cs="Times New Roman"/>
          <w:b/>
          <w:caps/>
          <w:sz w:val="28"/>
          <w:szCs w:val="28"/>
          <w:lang w:val="ru-RU"/>
        </w:rPr>
        <w:t>Конституційного Суду України</w:t>
      </w:r>
    </w:p>
    <w:sectPr w:rsidR="00AE6AE1" w:rsidRPr="00AE6AE1" w:rsidSect="006844AF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9F3" w:rsidRDefault="002649F3" w:rsidP="00C32F2C">
      <w:pPr>
        <w:spacing w:after="0" w:line="240" w:lineRule="auto"/>
      </w:pPr>
      <w:r>
        <w:separator/>
      </w:r>
    </w:p>
  </w:endnote>
  <w:endnote w:type="continuationSeparator" w:id="0">
    <w:p w:rsidR="002649F3" w:rsidRDefault="002649F3" w:rsidP="00C3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AF" w:rsidRPr="006844AF" w:rsidRDefault="006844AF">
    <w:pPr>
      <w:pStyle w:val="a5"/>
      <w:rPr>
        <w:rFonts w:ascii="Times New Roman" w:hAnsi="Times New Roman" w:cs="Times New Roman"/>
        <w:sz w:val="10"/>
        <w:szCs w:val="10"/>
      </w:rPr>
    </w:pPr>
    <w:r w:rsidRPr="006844AF">
      <w:rPr>
        <w:rFonts w:ascii="Times New Roman" w:hAnsi="Times New Roman" w:cs="Times New Roman"/>
        <w:sz w:val="10"/>
        <w:szCs w:val="10"/>
      </w:rPr>
      <w:fldChar w:fldCharType="begin"/>
    </w:r>
    <w:r w:rsidRPr="006844AF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6844AF">
      <w:rPr>
        <w:rFonts w:ascii="Times New Roman" w:hAnsi="Times New Roman" w:cs="Times New Roman"/>
        <w:sz w:val="10"/>
        <w:szCs w:val="10"/>
      </w:rPr>
      <w:fldChar w:fldCharType="separate"/>
    </w:r>
    <w:r>
      <w:rPr>
        <w:rFonts w:ascii="Times New Roman" w:hAnsi="Times New Roman" w:cs="Times New Roman"/>
        <w:noProof/>
        <w:sz w:val="10"/>
        <w:szCs w:val="10"/>
        <w:lang w:val="uk-UA"/>
      </w:rPr>
      <w:t>G:\2021\Suddi\II senat\I koleg\1.docx</w:t>
    </w:r>
    <w:r w:rsidRPr="006844A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AF" w:rsidRPr="006844AF" w:rsidRDefault="006844AF">
    <w:pPr>
      <w:pStyle w:val="a5"/>
      <w:rPr>
        <w:rFonts w:ascii="Times New Roman" w:hAnsi="Times New Roman" w:cs="Times New Roman"/>
        <w:sz w:val="10"/>
        <w:szCs w:val="10"/>
      </w:rPr>
    </w:pPr>
    <w:r w:rsidRPr="006844AF">
      <w:rPr>
        <w:rFonts w:ascii="Times New Roman" w:hAnsi="Times New Roman" w:cs="Times New Roman"/>
        <w:sz w:val="10"/>
        <w:szCs w:val="10"/>
      </w:rPr>
      <w:fldChar w:fldCharType="begin"/>
    </w:r>
    <w:r w:rsidRPr="006844AF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6844AF">
      <w:rPr>
        <w:rFonts w:ascii="Times New Roman" w:hAnsi="Times New Roman" w:cs="Times New Roman"/>
        <w:sz w:val="10"/>
        <w:szCs w:val="10"/>
      </w:rPr>
      <w:fldChar w:fldCharType="separate"/>
    </w:r>
    <w:r>
      <w:rPr>
        <w:rFonts w:ascii="Times New Roman" w:hAnsi="Times New Roman" w:cs="Times New Roman"/>
        <w:noProof/>
        <w:sz w:val="10"/>
        <w:szCs w:val="10"/>
        <w:lang w:val="uk-UA"/>
      </w:rPr>
      <w:t>G:\2021\Suddi\II senat\I koleg\1.docx</w:t>
    </w:r>
    <w:r w:rsidRPr="006844A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9F3" w:rsidRDefault="002649F3" w:rsidP="00C32F2C">
      <w:pPr>
        <w:spacing w:after="0" w:line="240" w:lineRule="auto"/>
      </w:pPr>
      <w:r>
        <w:separator/>
      </w:r>
    </w:p>
  </w:footnote>
  <w:footnote w:type="continuationSeparator" w:id="0">
    <w:p w:rsidR="002649F3" w:rsidRDefault="002649F3" w:rsidP="00C3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992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32F2C" w:rsidRPr="006844AF" w:rsidRDefault="00C32F2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44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844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844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58A7" w:rsidRPr="00A058A7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6844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0D"/>
    <w:rsid w:val="00061103"/>
    <w:rsid w:val="00075487"/>
    <w:rsid w:val="00082BDE"/>
    <w:rsid w:val="000D1283"/>
    <w:rsid w:val="001B7EA7"/>
    <w:rsid w:val="00257F78"/>
    <w:rsid w:val="002649F3"/>
    <w:rsid w:val="0031081C"/>
    <w:rsid w:val="0035115E"/>
    <w:rsid w:val="00351531"/>
    <w:rsid w:val="003704D6"/>
    <w:rsid w:val="003810EC"/>
    <w:rsid w:val="003D5B19"/>
    <w:rsid w:val="004342C4"/>
    <w:rsid w:val="00467C6A"/>
    <w:rsid w:val="004A463F"/>
    <w:rsid w:val="005225BA"/>
    <w:rsid w:val="005417B0"/>
    <w:rsid w:val="005C4872"/>
    <w:rsid w:val="005D16F0"/>
    <w:rsid w:val="0066728F"/>
    <w:rsid w:val="006844AF"/>
    <w:rsid w:val="00724286"/>
    <w:rsid w:val="007C483D"/>
    <w:rsid w:val="00857E2F"/>
    <w:rsid w:val="00861F76"/>
    <w:rsid w:val="008F197D"/>
    <w:rsid w:val="008F521B"/>
    <w:rsid w:val="00917E67"/>
    <w:rsid w:val="00964864"/>
    <w:rsid w:val="00987A69"/>
    <w:rsid w:val="00A058A7"/>
    <w:rsid w:val="00A71B7F"/>
    <w:rsid w:val="00A84F6C"/>
    <w:rsid w:val="00AD04E0"/>
    <w:rsid w:val="00AD1A48"/>
    <w:rsid w:val="00AE6AE1"/>
    <w:rsid w:val="00C32F2C"/>
    <w:rsid w:val="00DF3D11"/>
    <w:rsid w:val="00E04B5D"/>
    <w:rsid w:val="00E178A6"/>
    <w:rsid w:val="00E23BD2"/>
    <w:rsid w:val="00E40059"/>
    <w:rsid w:val="00E7020D"/>
    <w:rsid w:val="00E71181"/>
    <w:rsid w:val="00E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62DB6-AE20-44D0-B686-F415F1EE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81C"/>
  </w:style>
  <w:style w:type="paragraph" w:styleId="1">
    <w:name w:val="heading 1"/>
    <w:basedOn w:val="a"/>
    <w:next w:val="a"/>
    <w:link w:val="10"/>
    <w:qFormat/>
    <w:rsid w:val="006844AF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10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31081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31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32F2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32F2C"/>
  </w:style>
  <w:style w:type="paragraph" w:styleId="a5">
    <w:name w:val="footer"/>
    <w:basedOn w:val="a"/>
    <w:link w:val="a6"/>
    <w:uiPriority w:val="99"/>
    <w:unhideWhenUsed/>
    <w:rsid w:val="00C32F2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32F2C"/>
  </w:style>
  <w:style w:type="paragraph" w:styleId="a7">
    <w:name w:val="List Paragraph"/>
    <w:basedOn w:val="a"/>
    <w:uiPriority w:val="34"/>
    <w:qFormat/>
    <w:rsid w:val="0006110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4AF"/>
    <w:rPr>
      <w:rFonts w:ascii="Peterburg" w:eastAsia="Times New Roman" w:hAnsi="Peterburg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3796</Words>
  <Characters>2165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Віктор В. Чередниченко</cp:lastModifiedBy>
  <cp:revision>2</cp:revision>
  <cp:lastPrinted>2021-01-14T10:02:00Z</cp:lastPrinted>
  <dcterms:created xsi:type="dcterms:W3CDTF">2023-08-30T07:17:00Z</dcterms:created>
  <dcterms:modified xsi:type="dcterms:W3CDTF">2023-08-30T07:17:00Z</dcterms:modified>
</cp:coreProperties>
</file>