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E7" w:rsidRDefault="003367E7" w:rsidP="003367E7">
      <w:pPr>
        <w:spacing w:after="0" w:line="240" w:lineRule="auto"/>
        <w:ind w:right="113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67E7" w:rsidRDefault="003367E7" w:rsidP="003367E7">
      <w:pPr>
        <w:spacing w:after="0" w:line="240" w:lineRule="auto"/>
        <w:ind w:right="113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67E7" w:rsidRDefault="003367E7" w:rsidP="003367E7">
      <w:pPr>
        <w:spacing w:after="0" w:line="240" w:lineRule="auto"/>
        <w:ind w:right="113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67E7" w:rsidRDefault="003367E7" w:rsidP="003367E7">
      <w:pPr>
        <w:spacing w:after="0" w:line="240" w:lineRule="auto"/>
        <w:ind w:right="113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67E7" w:rsidRDefault="003367E7" w:rsidP="003367E7">
      <w:pPr>
        <w:spacing w:after="0" w:line="240" w:lineRule="auto"/>
        <w:ind w:right="113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67E7" w:rsidRDefault="003367E7" w:rsidP="003367E7">
      <w:pPr>
        <w:spacing w:after="0" w:line="240" w:lineRule="auto"/>
        <w:ind w:right="113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67E7" w:rsidRDefault="003367E7" w:rsidP="003367E7">
      <w:pPr>
        <w:spacing w:after="0" w:line="240" w:lineRule="auto"/>
        <w:ind w:right="113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67E7" w:rsidRDefault="003367E7" w:rsidP="003367E7">
      <w:pPr>
        <w:spacing w:after="0" w:line="240" w:lineRule="auto"/>
        <w:ind w:right="113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67E7" w:rsidRDefault="003367E7" w:rsidP="003367E7">
      <w:pPr>
        <w:spacing w:after="0" w:line="240" w:lineRule="auto"/>
        <w:ind w:right="113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67E7" w:rsidRPr="003367E7" w:rsidRDefault="003367E7" w:rsidP="003367E7">
      <w:pPr>
        <w:spacing w:after="0" w:line="240" w:lineRule="auto"/>
        <w:ind w:right="113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A7AD7" w:rsidRPr="003367E7" w:rsidRDefault="00CA7AD7" w:rsidP="003367E7">
      <w:pPr>
        <w:tabs>
          <w:tab w:val="center" w:pos="4678"/>
        </w:tabs>
        <w:spacing w:after="0" w:line="240" w:lineRule="auto"/>
        <w:ind w:left="709" w:right="113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Калмикової Ольги Іванівни щодо відповідності Конституції України (конституційності) пункту 1 частини першої статті 263, абзацу першого </w:t>
      </w:r>
      <w:r w:rsidR="003714BC" w:rsidRPr="003367E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частини першої </w:t>
      </w:r>
      <w:r w:rsidR="00CE26FB" w:rsidRPr="003367E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статті 617 </w:t>
      </w:r>
      <w:r w:rsidRPr="003367E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Цивільного</w:t>
      </w:r>
      <w:r w:rsidR="003367E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br/>
      </w:r>
      <w:r w:rsidR="003367E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3367E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кодексу України</w:t>
      </w:r>
    </w:p>
    <w:p w:rsidR="00CA7AD7" w:rsidRDefault="00CA7AD7" w:rsidP="003367E7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67E7" w:rsidRPr="003367E7" w:rsidRDefault="003367E7" w:rsidP="003367E7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A7AD7" w:rsidRPr="003367E7" w:rsidRDefault="00CA7AD7" w:rsidP="003367E7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м. К и ї в </w:t>
      </w:r>
      <w:r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Справа </w:t>
      </w:r>
      <w:r w:rsidR="001971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</w:t>
      </w:r>
      <w:r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>3-31/2021(69/21)</w:t>
      </w:r>
    </w:p>
    <w:p w:rsidR="00197167" w:rsidRDefault="00947051" w:rsidP="003367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>24</w:t>
      </w:r>
      <w:r w:rsidR="00CA7AD7"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березня 2021 року</w:t>
      </w:r>
    </w:p>
    <w:p w:rsidR="00CA7AD7" w:rsidRPr="003367E7" w:rsidRDefault="00197167" w:rsidP="003367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</w:t>
      </w:r>
      <w:bookmarkStart w:id="0" w:name="_GoBack"/>
      <w:r w:rsidR="00947051"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>53</w:t>
      </w:r>
      <w:r w:rsidR="00CA7AD7"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>-1(І)</w:t>
      </w:r>
      <w:bookmarkEnd w:id="0"/>
      <w:r w:rsidR="00CA7AD7"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>/2021</w:t>
      </w:r>
    </w:p>
    <w:p w:rsidR="00CA7AD7" w:rsidRDefault="00CA7AD7" w:rsidP="003367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367E7" w:rsidRPr="003367E7" w:rsidRDefault="003367E7" w:rsidP="003367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A7AD7" w:rsidRPr="003367E7" w:rsidRDefault="00CA7AD7" w:rsidP="003367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Перша колегія суддів Першого сенату Конституційного Суду України у складі:</w:t>
      </w:r>
    </w:p>
    <w:p w:rsidR="00CA7AD7" w:rsidRPr="003367E7" w:rsidRDefault="00CA7AD7" w:rsidP="003367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A7AD7" w:rsidRPr="003367E7" w:rsidRDefault="00CA7AD7" w:rsidP="003367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Колісника Віктора Павловича – головуючого,</w:t>
      </w:r>
    </w:p>
    <w:p w:rsidR="00CA7AD7" w:rsidRPr="003367E7" w:rsidRDefault="00CA7AD7" w:rsidP="003367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Кичуна Віктора Івановича,</w:t>
      </w:r>
    </w:p>
    <w:p w:rsidR="00CA7AD7" w:rsidRPr="003367E7" w:rsidRDefault="00CA7AD7" w:rsidP="003367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Філюка Петра Тодосьовича – доповідача,</w:t>
      </w:r>
    </w:p>
    <w:p w:rsidR="00CA7AD7" w:rsidRPr="003367E7" w:rsidRDefault="00CA7AD7" w:rsidP="003367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A7AD7" w:rsidRPr="003367E7" w:rsidRDefault="00CA7AD7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Калмикової </w:t>
      </w:r>
      <w:r w:rsidR="00C869A2"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Ольги Іванівни </w:t>
      </w:r>
      <w:r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відповідності Конституції України (конституційності) пункту 1 </w:t>
      </w:r>
      <w:r w:rsidR="00C869A2"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частини першої статті 263, абзацу першого </w:t>
      </w:r>
      <w:r w:rsidR="00CE26FB"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частини першої </w:t>
      </w:r>
      <w:r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статті 617 Цивільного кодексу України.</w:t>
      </w:r>
    </w:p>
    <w:p w:rsidR="00CA7AD7" w:rsidRPr="003367E7" w:rsidRDefault="00CA7AD7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A7AD7" w:rsidRPr="003367E7" w:rsidRDefault="00CA7AD7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Заслухавши суддю-доповідача Філюка П.Т. та дослідивши матеріали справи, Перша колегія суддів Першого сенату Конституційного Суду України</w:t>
      </w:r>
    </w:p>
    <w:p w:rsidR="00CA7AD7" w:rsidRDefault="00CA7AD7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367E7" w:rsidRPr="003367E7" w:rsidRDefault="003367E7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A7AD7" w:rsidRPr="003367E7" w:rsidRDefault="00CA7AD7" w:rsidP="003367E7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у с т а н о в и л а:</w:t>
      </w:r>
    </w:p>
    <w:p w:rsidR="00CA7AD7" w:rsidRPr="003367E7" w:rsidRDefault="00CA7AD7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C5696" w:rsidRPr="003367E7" w:rsidRDefault="00CA7AD7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B6A69" w:rsidRPr="003367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 Калмикова О.І. звернулась до Конституційного Суду України з клопотанням перевірити на відповідність частині четвертій статті 13,</w:t>
      </w:r>
      <w:r w:rsidR="003367E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частині сьомій статті 43 Конституції України </w:t>
      </w:r>
      <w:r w:rsidR="003714BC"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(конституційність) </w:t>
      </w:r>
      <w:r w:rsidRPr="003367E7">
        <w:rPr>
          <w:rFonts w:ascii="Times New Roman" w:hAnsi="Times New Roman" w:cs="Times New Roman"/>
          <w:sz w:val="28"/>
          <w:szCs w:val="28"/>
          <w:lang w:val="uk-UA"/>
        </w:rPr>
        <w:t>пункт 1</w:t>
      </w:r>
      <w:r w:rsidR="005F651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частини першої статті 263, абзац перший </w:t>
      </w:r>
      <w:r w:rsidR="00CE26FB"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частини першої </w:t>
      </w:r>
      <w:r w:rsidRPr="003367E7">
        <w:rPr>
          <w:rFonts w:ascii="Times New Roman" w:hAnsi="Times New Roman" w:cs="Times New Roman"/>
          <w:sz w:val="28"/>
          <w:szCs w:val="28"/>
          <w:lang w:val="uk-UA"/>
        </w:rPr>
        <w:t>статті 617</w:t>
      </w:r>
      <w:r w:rsidR="005F6517">
        <w:rPr>
          <w:rFonts w:ascii="Times New Roman" w:hAnsi="Times New Roman" w:cs="Times New Roman"/>
          <w:sz w:val="28"/>
          <w:szCs w:val="28"/>
          <w:lang w:val="uk-UA"/>
        </w:rPr>
        <w:br/>
      </w:r>
      <w:r w:rsidR="005B63CF" w:rsidRPr="003367E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E0254" w:rsidRPr="003367E7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5B63CF"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</w:t>
      </w:r>
      <w:r w:rsidR="000E0254" w:rsidRPr="003367E7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5B63CF"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 скар</w:t>
      </w:r>
      <w:r w:rsidR="000E0254" w:rsidRPr="003367E7">
        <w:rPr>
          <w:rFonts w:ascii="Times New Roman" w:hAnsi="Times New Roman" w:cs="Times New Roman"/>
          <w:sz w:val="28"/>
          <w:szCs w:val="28"/>
          <w:lang w:val="uk-UA"/>
        </w:rPr>
        <w:t>гою</w:t>
      </w:r>
      <w:r w:rsidR="005B63CF"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 – „пункт 1 частини 1 статті 617“)</w:t>
      </w:r>
      <w:r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</w:t>
      </w:r>
      <w:r w:rsidR="002D4662" w:rsidRPr="003367E7">
        <w:rPr>
          <w:rFonts w:ascii="Times New Roman" w:hAnsi="Times New Roman" w:cs="Times New Roman"/>
          <w:sz w:val="28"/>
          <w:szCs w:val="28"/>
          <w:lang w:val="uk-UA"/>
        </w:rPr>
        <w:t>кодексу України (далі – Кодекс)</w:t>
      </w:r>
      <w:r w:rsidR="00CC5696" w:rsidRPr="003367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7AD7" w:rsidRPr="003367E7" w:rsidRDefault="00CC5696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sz w:val="28"/>
          <w:szCs w:val="28"/>
          <w:lang w:val="uk-UA"/>
        </w:rPr>
        <w:t>Оспорюваними положеннями</w:t>
      </w:r>
      <w:r w:rsidR="002D4662"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AD7" w:rsidRPr="003367E7">
        <w:rPr>
          <w:rFonts w:ascii="Times New Roman" w:hAnsi="Times New Roman" w:cs="Times New Roman"/>
          <w:sz w:val="28"/>
          <w:szCs w:val="28"/>
          <w:lang w:val="uk-UA"/>
        </w:rPr>
        <w:t>передбачено</w:t>
      </w:r>
      <w:r w:rsidR="00B73B4B" w:rsidRPr="003367E7">
        <w:rPr>
          <w:rFonts w:ascii="Times New Roman" w:hAnsi="Times New Roman" w:cs="Times New Roman"/>
          <w:sz w:val="28"/>
          <w:szCs w:val="28"/>
          <w:lang w:val="uk-UA"/>
        </w:rPr>
        <w:t>, що п</w:t>
      </w:r>
      <w:r w:rsidR="00CA7AD7" w:rsidRPr="003367E7">
        <w:rPr>
          <w:rFonts w:ascii="Times New Roman" w:hAnsi="Times New Roman" w:cs="Times New Roman"/>
          <w:sz w:val="28"/>
          <w:szCs w:val="28"/>
          <w:lang w:val="uk-UA"/>
        </w:rPr>
        <w:t>еребі</w:t>
      </w:r>
      <w:r w:rsidR="00B73B4B"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г позовної давності зупиняється, </w:t>
      </w:r>
      <w:r w:rsidR="00054510" w:rsidRPr="003367E7">
        <w:rPr>
          <w:rFonts w:ascii="Times New Roman" w:hAnsi="Times New Roman" w:cs="Times New Roman"/>
          <w:sz w:val="28"/>
          <w:szCs w:val="28"/>
          <w:lang w:val="uk-UA"/>
        </w:rPr>
        <w:t>якщо пред’явленню</w:t>
      </w:r>
      <w:r w:rsidR="00CA7AD7"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 позову перешкоджала надзвичайна або невідворотна за дани</w:t>
      </w:r>
      <w:r w:rsidR="00B73B4B" w:rsidRPr="003367E7">
        <w:rPr>
          <w:rFonts w:ascii="Times New Roman" w:hAnsi="Times New Roman" w:cs="Times New Roman"/>
          <w:sz w:val="28"/>
          <w:szCs w:val="28"/>
          <w:lang w:val="uk-UA"/>
        </w:rPr>
        <w:t>х умов подія (непереборна сила)</w:t>
      </w:r>
      <w:r w:rsidR="00D4633A"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 (пункт 1 частини першої статті 263 Кодексу),</w:t>
      </w:r>
      <w:r w:rsidR="00B73B4B"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CA7AD7"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соба, яка порушила </w:t>
      </w:r>
      <w:r w:rsidR="00054510" w:rsidRPr="003367E7">
        <w:rPr>
          <w:rFonts w:ascii="Times New Roman" w:hAnsi="Times New Roman" w:cs="Times New Roman"/>
          <w:sz w:val="28"/>
          <w:szCs w:val="28"/>
          <w:lang w:val="uk-UA"/>
        </w:rPr>
        <w:t>зобов’язання</w:t>
      </w:r>
      <w:r w:rsidR="00CA7AD7" w:rsidRPr="003367E7">
        <w:rPr>
          <w:rFonts w:ascii="Times New Roman" w:hAnsi="Times New Roman" w:cs="Times New Roman"/>
          <w:sz w:val="28"/>
          <w:szCs w:val="28"/>
          <w:lang w:val="uk-UA"/>
        </w:rPr>
        <w:t>, звільняється від відповідальності за порушення зобов</w:t>
      </w:r>
      <w:r w:rsidR="00613E95" w:rsidRPr="003367E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A7AD7" w:rsidRPr="003367E7">
        <w:rPr>
          <w:rFonts w:ascii="Times New Roman" w:hAnsi="Times New Roman" w:cs="Times New Roman"/>
          <w:sz w:val="28"/>
          <w:szCs w:val="28"/>
          <w:lang w:val="uk-UA"/>
        </w:rPr>
        <w:t>язання, якщо вона доведе, що це порушення сталося внаслідо</w:t>
      </w:r>
      <w:r w:rsidR="00B73B4B" w:rsidRPr="003367E7">
        <w:rPr>
          <w:rFonts w:ascii="Times New Roman" w:hAnsi="Times New Roman" w:cs="Times New Roman"/>
          <w:sz w:val="28"/>
          <w:szCs w:val="28"/>
          <w:lang w:val="uk-UA"/>
        </w:rPr>
        <w:t>к випадку або непереборної сили</w:t>
      </w:r>
      <w:r w:rsidR="00D4633A"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 (абзац перший частини першої статті 617 Кодексу)</w:t>
      </w:r>
      <w:r w:rsidR="00CA7AD7" w:rsidRPr="003367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3B4B" w:rsidRPr="003367E7" w:rsidRDefault="00D4633A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З аналізу конституційної скарги та долучених до неї матеріалів вбачається, що </w:t>
      </w:r>
      <w:r w:rsidR="00B73B4B"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Калмикова О.І. звернулась до Печерського районного суду міста Києва з позовом до Акціонерного товариства „Українська залізниця“ (далі – Товариство) </w:t>
      </w:r>
      <w:r w:rsidR="00B73B4B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стягнення заборгованості із заробітної плати, середнього заробітку за час затримки розрахунку</w:t>
      </w:r>
      <w:r w:rsidR="00E413C5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 переведенні</w:t>
      </w:r>
      <w:r w:rsidR="00B73B4B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E413C5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середнього заробітку за час затримки розрахунку при звільненні, </w:t>
      </w:r>
      <w:r w:rsidR="00B73B4B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компенсації втрати частини заробітної плати </w:t>
      </w:r>
      <w:r w:rsidR="00DB0E05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B73B4B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зв’язку з порушенням термінів її виплати.</w:t>
      </w:r>
    </w:p>
    <w:p w:rsidR="009B5F8B" w:rsidRPr="003367E7" w:rsidRDefault="00B73B4B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Печерський районний суд міста Києва рішенням від 4 лютого 2020 року </w:t>
      </w:r>
      <w:r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позов Калмикової О.І. до Товариства задовольнив частково, </w:t>
      </w:r>
      <w:r w:rsidR="001B0131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зокрем</w:t>
      </w:r>
      <w:r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стягнув на</w:t>
      </w:r>
      <w:r w:rsidR="00DB0E05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її</w:t>
      </w:r>
      <w:r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користь заборгованість із заробітної плати, середній заробіток за час затримки розрахунку при звільненні, компенсацію втрати частини грошових доходів у зв’язку з порушенням термінів їх виплати, в іншій частині позовних вимог відмовив.</w:t>
      </w:r>
    </w:p>
    <w:p w:rsidR="005719D7" w:rsidRPr="003367E7" w:rsidRDefault="0044372A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Київський апеляційний суд постановою від 25 листопада 2020 року, яка є остаточним судовим рішенням у справі, </w:t>
      </w:r>
      <w:r w:rsidR="00552547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зокрема</w:t>
      </w:r>
      <w:r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рішення Печерського </w:t>
      </w:r>
      <w:r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районного суду міста Києва від 4 лютого 2020 року </w:t>
      </w:r>
      <w:r w:rsidR="00494011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скасува</w:t>
      </w:r>
      <w:r w:rsidR="00DC274E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494011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частині стягнення середнього заробітку за час затримки розрахунку при звільненні, компенсації втрати частини грошових доходів у зв’язку з порушенням термінів їх виплати </w:t>
      </w:r>
      <w:r w:rsidR="00E94305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552547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94011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прийня</w:t>
      </w:r>
      <w:r w:rsidR="00DC274E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494011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C274E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494011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цій частині нову постанову, якою, зокрема, </w:t>
      </w:r>
      <w:r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стягну</w:t>
      </w:r>
      <w:r w:rsidR="00DC274E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користь Калмикової </w:t>
      </w:r>
      <w:r w:rsidR="00552547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О.І. </w:t>
      </w:r>
      <w:r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компенсацію втрати частини заробітної плати</w:t>
      </w:r>
      <w:r w:rsidR="005719D7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A7AD7" w:rsidRPr="003367E7" w:rsidRDefault="00CA7AD7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sz w:val="28"/>
          <w:szCs w:val="28"/>
          <w:lang w:val="uk-UA"/>
        </w:rPr>
        <w:t>Обґрунтовуючи неконституційність</w:t>
      </w:r>
      <w:r w:rsidR="00DB0E05"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 пункту 1 частини першої статті 263, абзацу першого частини першої статті 617 Кодексу</w:t>
      </w:r>
      <w:r w:rsidR="00B73B4B" w:rsidRPr="003367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 Калмикова О.І. зазнач</w:t>
      </w:r>
      <w:r w:rsidR="00E413C5" w:rsidRPr="003367E7">
        <w:rPr>
          <w:rFonts w:ascii="Times New Roman" w:hAnsi="Times New Roman" w:cs="Times New Roman"/>
          <w:sz w:val="28"/>
          <w:szCs w:val="28"/>
          <w:lang w:val="uk-UA"/>
        </w:rPr>
        <w:t>ила</w:t>
      </w:r>
      <w:r w:rsidR="00EA4F81" w:rsidRPr="003367E7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131" w:rsidRPr="003367E7">
        <w:rPr>
          <w:rFonts w:ascii="Times New Roman" w:hAnsi="Times New Roman" w:cs="Times New Roman"/>
          <w:sz w:val="28"/>
          <w:szCs w:val="28"/>
          <w:lang w:val="uk-UA"/>
        </w:rPr>
        <w:t>„імперативність норм Конституції України, міжнародних договорів та угод ратифікованих Україною а також трудового законодавства України перед нормами Цивільного законодавства та застосування його судами в таких правовідносинах, свідчить про пряме порушення гарантії та своєчасності отримання винагороди за працю“</w:t>
      </w:r>
      <w:r w:rsidRPr="003367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7AD7" w:rsidRPr="003367E7" w:rsidRDefault="00CA7AD7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AD7" w:rsidRPr="003367E7" w:rsidRDefault="00CA7AD7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sz w:val="28"/>
          <w:szCs w:val="28"/>
          <w:lang w:val="uk-UA"/>
        </w:rPr>
        <w:t>2. Вирішуючи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CA7AD7" w:rsidRPr="003367E7" w:rsidRDefault="00CA7AD7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</w:t>
      </w:r>
      <w:r w:rsidR="003367E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367E7">
        <w:rPr>
          <w:rFonts w:ascii="Times New Roman" w:hAnsi="Times New Roman" w:cs="Times New Roman"/>
          <w:sz w:val="28"/>
          <w:szCs w:val="28"/>
          <w:lang w:val="uk-UA"/>
        </w:rPr>
        <w:t>статтею 55 цього закону (абзац перший частини першої статті 77).</w:t>
      </w:r>
    </w:p>
    <w:p w:rsidR="00F35042" w:rsidRPr="003367E7" w:rsidRDefault="00F35042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аналізу конституційної скарги вбачається, що аргументація</w:t>
      </w:r>
      <w:r w:rsid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DC274E"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Калмикової О.І. </w:t>
      </w:r>
      <w:r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 неконституційності пункту 1 частини першої статті 263, абзацу першого частини першої статті 617 Кодексу зводиться до цитування Конституції України, з</w:t>
      </w:r>
      <w:r w:rsidR="003F187A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аконів </w:t>
      </w:r>
      <w:r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України, рішень</w:t>
      </w:r>
      <w:r w:rsidR="0038006F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Конституційного Суду України</w:t>
      </w:r>
      <w:r w:rsidR="002A139C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Європейського суду з прав людини, міжнародних документів, а також до висловлення незгоди з судовим</w:t>
      </w:r>
      <w:r w:rsidR="001B0131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рішенням</w:t>
      </w:r>
      <w:r w:rsidR="001B0131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</w:t>
      </w:r>
      <w:r w:rsidR="001B0131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її</w:t>
      </w:r>
      <w:r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справі, що не можна вважати </w:t>
      </w:r>
      <w:r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обґрунтуванням тверджень щодо неконституційності </w:t>
      </w:r>
      <w:r w:rsidR="00C20AD0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оспорюваних положень</w:t>
      </w:r>
      <w:r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Кодексу.</w:t>
      </w:r>
    </w:p>
    <w:p w:rsidR="00CA7AD7" w:rsidRPr="003367E7" w:rsidRDefault="00CA7AD7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DC274E" w:rsidRPr="003367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автор клопотання</w:t>
      </w:r>
      <w:r w:rsidR="00DC274E"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67E7">
        <w:rPr>
          <w:rFonts w:ascii="Times New Roman" w:hAnsi="Times New Roman" w:cs="Times New Roman"/>
          <w:sz w:val="28"/>
          <w:szCs w:val="28"/>
          <w:lang w:val="uk-UA"/>
        </w:rPr>
        <w:t>не дотрима</w:t>
      </w:r>
      <w:r w:rsidR="00DC274E" w:rsidRPr="003367E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 вимог пункту 6 частини другої </w:t>
      </w:r>
      <w:r w:rsidRPr="003367E7">
        <w:rPr>
          <w:rFonts w:ascii="Times New Roman" w:hAnsi="Times New Roman" w:cs="Times New Roman"/>
          <w:sz w:val="28"/>
          <w:szCs w:val="28"/>
          <w:lang w:val="uk-UA"/>
        </w:rPr>
        <w:br/>
        <w:t>статті 55 Закону України „Про Конституційний Суд України“, що є підставою для відмови у відкритті конституційного провадження у справі за пунктом 4 статті 62 цього закону – неприйнятність конституційної скарги.</w:t>
      </w:r>
    </w:p>
    <w:p w:rsidR="00DB0E05" w:rsidRPr="003367E7" w:rsidRDefault="00DB0E05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AD7" w:rsidRDefault="00CA7AD7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sz w:val="28"/>
          <w:szCs w:val="28"/>
          <w:lang w:val="uk-UA"/>
        </w:rPr>
        <w:t>Враховуючи викладене та керуючись статтями 147, 151</w:t>
      </w:r>
      <w:r w:rsidRPr="003367E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3367E7">
        <w:rPr>
          <w:rFonts w:ascii="Times New Roman" w:hAnsi="Times New Roman" w:cs="Times New Roman"/>
          <w:sz w:val="28"/>
          <w:szCs w:val="28"/>
          <w:lang w:val="uk-UA"/>
        </w:rPr>
        <w:t>, 153 Конституції України, на підставі статей 7, 32, 37, 50, 55, 56, 58, 61,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3367E7" w:rsidRPr="003367E7" w:rsidRDefault="003367E7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AD7" w:rsidRPr="003367E7" w:rsidRDefault="00CA7AD7" w:rsidP="003367E7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CA7AD7" w:rsidRPr="003367E7" w:rsidRDefault="00CA7AD7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AD7" w:rsidRPr="003367E7" w:rsidRDefault="00CA7AD7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Калмикової </w:t>
      </w:r>
      <w:r w:rsidR="003714BC"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Ольги Іванівни </w:t>
      </w:r>
      <w:r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щодо відповідності Конституції України (конституційності) пункту 1 частини першої статті 263, </w:t>
      </w:r>
      <w:r w:rsidRPr="003367E7">
        <w:rPr>
          <w:rFonts w:ascii="Times New Roman" w:hAnsi="Times New Roman" w:cs="Times New Roman"/>
          <w:sz w:val="28"/>
          <w:szCs w:val="28"/>
          <w:lang w:val="uk-UA"/>
        </w:rPr>
        <w:br/>
        <w:t xml:space="preserve">абзацу першого </w:t>
      </w:r>
      <w:r w:rsidR="00CE26FB" w:rsidRPr="003367E7">
        <w:rPr>
          <w:rFonts w:ascii="Times New Roman" w:hAnsi="Times New Roman" w:cs="Times New Roman"/>
          <w:sz w:val="28"/>
          <w:szCs w:val="28"/>
          <w:lang w:val="uk-UA"/>
        </w:rPr>
        <w:t xml:space="preserve">частини першої </w:t>
      </w:r>
      <w:r w:rsidRPr="003367E7">
        <w:rPr>
          <w:rFonts w:ascii="Times New Roman" w:hAnsi="Times New Roman" w:cs="Times New Roman"/>
          <w:sz w:val="28"/>
          <w:szCs w:val="28"/>
          <w:lang w:val="uk-UA"/>
        </w:rPr>
        <w:t>статті 617 Цивільного кодексу України на підставі пункту 4 статті 62 Закону України „Про Конституційний Суд України“</w:t>
      </w:r>
      <w:r w:rsidR="00DB0E05" w:rsidRPr="003367E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367E7">
        <w:rPr>
          <w:rFonts w:ascii="Times New Roman" w:hAnsi="Times New Roman" w:cs="Times New Roman"/>
          <w:sz w:val="28"/>
          <w:szCs w:val="28"/>
          <w:lang w:val="uk-UA"/>
        </w:rPr>
        <w:t>– неприйнятність конституційної скарги.</w:t>
      </w:r>
    </w:p>
    <w:p w:rsidR="00CA7AD7" w:rsidRPr="003367E7" w:rsidRDefault="00CA7AD7" w:rsidP="003367E7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AD7" w:rsidRDefault="00CA7AD7" w:rsidP="0033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7E7">
        <w:rPr>
          <w:rFonts w:ascii="Times New Roman" w:hAnsi="Times New Roman" w:cs="Times New Roman"/>
          <w:sz w:val="28"/>
          <w:szCs w:val="28"/>
          <w:lang w:val="uk-UA"/>
        </w:rPr>
        <w:t>2. Ухвала є остаточною.</w:t>
      </w:r>
    </w:p>
    <w:p w:rsidR="003367E7" w:rsidRDefault="003367E7" w:rsidP="0033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83C" w:rsidRDefault="00A3483C" w:rsidP="0033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83C" w:rsidRDefault="00A3483C" w:rsidP="0033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83C" w:rsidRPr="00A3483C" w:rsidRDefault="00A3483C" w:rsidP="00A3483C">
      <w:pPr>
        <w:pStyle w:val="a9"/>
        <w:spacing w:after="0" w:line="240" w:lineRule="auto"/>
        <w:ind w:left="288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83C">
        <w:rPr>
          <w:rFonts w:ascii="Times New Roman" w:hAnsi="Times New Roman" w:cs="Times New Roman"/>
          <w:b/>
          <w:sz w:val="28"/>
          <w:szCs w:val="28"/>
        </w:rPr>
        <w:t>ПЕРША КОЛЕГІЯ СУДДІВ</w:t>
      </w:r>
    </w:p>
    <w:p w:rsidR="00A3483C" w:rsidRPr="00A3483C" w:rsidRDefault="00A3483C" w:rsidP="00A3483C">
      <w:pPr>
        <w:pStyle w:val="a9"/>
        <w:spacing w:after="0" w:line="240" w:lineRule="auto"/>
        <w:ind w:left="288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83C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:rsidR="00A3483C" w:rsidRPr="00A3483C" w:rsidRDefault="00A3483C" w:rsidP="00A3483C">
      <w:pPr>
        <w:pStyle w:val="a9"/>
        <w:spacing w:after="0" w:line="240" w:lineRule="auto"/>
        <w:ind w:left="288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83C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sectPr w:rsidR="00A3483C" w:rsidRPr="00A3483C" w:rsidSect="003367E7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17" w:rsidRDefault="00720D17" w:rsidP="006E214C">
      <w:pPr>
        <w:spacing w:after="0" w:line="240" w:lineRule="auto"/>
      </w:pPr>
      <w:r>
        <w:separator/>
      </w:r>
    </w:p>
  </w:endnote>
  <w:endnote w:type="continuationSeparator" w:id="0">
    <w:p w:rsidR="00720D17" w:rsidRDefault="00720D17" w:rsidP="006E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7E7" w:rsidRPr="003367E7" w:rsidRDefault="003367E7">
    <w:pPr>
      <w:pStyle w:val="a5"/>
      <w:rPr>
        <w:rFonts w:ascii="Times New Roman" w:hAnsi="Times New Roman" w:cs="Times New Roman"/>
        <w:sz w:val="10"/>
        <w:szCs w:val="10"/>
        <w:lang w:val="en-US"/>
      </w:rPr>
    </w:pPr>
    <w:r w:rsidRPr="003367E7">
      <w:rPr>
        <w:rFonts w:ascii="Times New Roman" w:hAnsi="Times New Roman" w:cs="Times New Roman"/>
        <w:sz w:val="10"/>
        <w:szCs w:val="10"/>
      </w:rPr>
      <w:fldChar w:fldCharType="begin"/>
    </w:r>
    <w:r w:rsidRPr="003367E7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3367E7">
      <w:rPr>
        <w:rFonts w:ascii="Times New Roman" w:hAnsi="Times New Roman" w:cs="Times New Roman"/>
        <w:sz w:val="10"/>
        <w:szCs w:val="10"/>
      </w:rPr>
      <w:fldChar w:fldCharType="separate"/>
    </w:r>
    <w:r w:rsidR="005F6517">
      <w:rPr>
        <w:rFonts w:ascii="Times New Roman" w:hAnsi="Times New Roman" w:cs="Times New Roman"/>
        <w:noProof/>
        <w:sz w:val="10"/>
        <w:szCs w:val="10"/>
        <w:lang w:val="uk-UA"/>
      </w:rPr>
      <w:t>G:\2021\Suddi\I senat\I koleg\6.docx</w:t>
    </w:r>
    <w:r w:rsidRPr="003367E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7E7" w:rsidRPr="003367E7" w:rsidRDefault="003367E7">
    <w:pPr>
      <w:pStyle w:val="a5"/>
      <w:rPr>
        <w:rFonts w:ascii="Times New Roman" w:hAnsi="Times New Roman" w:cs="Times New Roman"/>
        <w:sz w:val="10"/>
        <w:szCs w:val="10"/>
        <w:lang w:val="en-US"/>
      </w:rPr>
    </w:pPr>
    <w:r w:rsidRPr="003367E7">
      <w:rPr>
        <w:rFonts w:ascii="Times New Roman" w:hAnsi="Times New Roman" w:cs="Times New Roman"/>
        <w:sz w:val="10"/>
        <w:szCs w:val="10"/>
      </w:rPr>
      <w:fldChar w:fldCharType="begin"/>
    </w:r>
    <w:r w:rsidRPr="003367E7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3367E7">
      <w:rPr>
        <w:rFonts w:ascii="Times New Roman" w:hAnsi="Times New Roman" w:cs="Times New Roman"/>
        <w:sz w:val="10"/>
        <w:szCs w:val="10"/>
      </w:rPr>
      <w:fldChar w:fldCharType="separate"/>
    </w:r>
    <w:r w:rsidR="005F6517">
      <w:rPr>
        <w:rFonts w:ascii="Times New Roman" w:hAnsi="Times New Roman" w:cs="Times New Roman"/>
        <w:noProof/>
        <w:sz w:val="10"/>
        <w:szCs w:val="10"/>
        <w:lang w:val="uk-UA"/>
      </w:rPr>
      <w:t>G:\2021\Suddi\I senat\I koleg\6.docx</w:t>
    </w:r>
    <w:r w:rsidRPr="003367E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17" w:rsidRDefault="00720D17" w:rsidP="006E214C">
      <w:pPr>
        <w:spacing w:after="0" w:line="240" w:lineRule="auto"/>
      </w:pPr>
      <w:r>
        <w:separator/>
      </w:r>
    </w:p>
  </w:footnote>
  <w:footnote w:type="continuationSeparator" w:id="0">
    <w:p w:rsidR="00720D17" w:rsidRDefault="00720D17" w:rsidP="006E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9612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E214C" w:rsidRPr="00ED2289" w:rsidRDefault="006E214C" w:rsidP="00ED228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21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214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21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7167" w:rsidRPr="00197167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6E21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E7" w:rsidRPr="00B76EE7" w:rsidRDefault="00B76EE7" w:rsidP="00B76EE7">
    <w:pPr>
      <w:pStyle w:val="a3"/>
      <w:jc w:val="right"/>
      <w:rPr>
        <w:rFonts w:ascii="Times New Roman" w:hAnsi="Times New Roman" w:cs="Times New Roman"/>
        <w:b/>
        <w:i/>
        <w:sz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21"/>
    <w:rsid w:val="00012268"/>
    <w:rsid w:val="00016C55"/>
    <w:rsid w:val="00017257"/>
    <w:rsid w:val="00037E5A"/>
    <w:rsid w:val="00054510"/>
    <w:rsid w:val="000E01B3"/>
    <w:rsid w:val="000E0254"/>
    <w:rsid w:val="000F6E79"/>
    <w:rsid w:val="00106206"/>
    <w:rsid w:val="001123C1"/>
    <w:rsid w:val="001770FD"/>
    <w:rsid w:val="00190793"/>
    <w:rsid w:val="00197167"/>
    <w:rsid w:val="001B0131"/>
    <w:rsid w:val="00234907"/>
    <w:rsid w:val="00283DF0"/>
    <w:rsid w:val="00285A7B"/>
    <w:rsid w:val="002A139C"/>
    <w:rsid w:val="002B0704"/>
    <w:rsid w:val="002D2B9B"/>
    <w:rsid w:val="002D4662"/>
    <w:rsid w:val="002E4533"/>
    <w:rsid w:val="00300CF8"/>
    <w:rsid w:val="003367E7"/>
    <w:rsid w:val="003714BC"/>
    <w:rsid w:val="0038006F"/>
    <w:rsid w:val="0038742B"/>
    <w:rsid w:val="00392F52"/>
    <w:rsid w:val="003B73E0"/>
    <w:rsid w:val="003F187A"/>
    <w:rsid w:val="00423527"/>
    <w:rsid w:val="00431A62"/>
    <w:rsid w:val="00437BC6"/>
    <w:rsid w:val="0044372A"/>
    <w:rsid w:val="00453769"/>
    <w:rsid w:val="00494011"/>
    <w:rsid w:val="004A111D"/>
    <w:rsid w:val="004A1FEC"/>
    <w:rsid w:val="004B6A69"/>
    <w:rsid w:val="004D171D"/>
    <w:rsid w:val="00543906"/>
    <w:rsid w:val="00551DCE"/>
    <w:rsid w:val="00552547"/>
    <w:rsid w:val="00552851"/>
    <w:rsid w:val="005719D7"/>
    <w:rsid w:val="0057527E"/>
    <w:rsid w:val="00584A6B"/>
    <w:rsid w:val="00585B95"/>
    <w:rsid w:val="00587A3A"/>
    <w:rsid w:val="0059599B"/>
    <w:rsid w:val="005B0F02"/>
    <w:rsid w:val="005B63CF"/>
    <w:rsid w:val="005F6517"/>
    <w:rsid w:val="00613E95"/>
    <w:rsid w:val="00643AA2"/>
    <w:rsid w:val="00667D67"/>
    <w:rsid w:val="006A5B8A"/>
    <w:rsid w:val="006E214C"/>
    <w:rsid w:val="006F09E1"/>
    <w:rsid w:val="006F2C77"/>
    <w:rsid w:val="00720D17"/>
    <w:rsid w:val="007404CD"/>
    <w:rsid w:val="007921CD"/>
    <w:rsid w:val="007B4AB3"/>
    <w:rsid w:val="007C0AE5"/>
    <w:rsid w:val="007C14A2"/>
    <w:rsid w:val="00844DFB"/>
    <w:rsid w:val="00852530"/>
    <w:rsid w:val="00880DF3"/>
    <w:rsid w:val="008D21D5"/>
    <w:rsid w:val="008E2B67"/>
    <w:rsid w:val="008E4CAE"/>
    <w:rsid w:val="008F0024"/>
    <w:rsid w:val="008F339B"/>
    <w:rsid w:val="009052D8"/>
    <w:rsid w:val="00947051"/>
    <w:rsid w:val="009B5F8B"/>
    <w:rsid w:val="009D4C2C"/>
    <w:rsid w:val="00A148FE"/>
    <w:rsid w:val="00A153BA"/>
    <w:rsid w:val="00A3483C"/>
    <w:rsid w:val="00A913F4"/>
    <w:rsid w:val="00A95621"/>
    <w:rsid w:val="00AA2E8A"/>
    <w:rsid w:val="00AF20B2"/>
    <w:rsid w:val="00B0559B"/>
    <w:rsid w:val="00B2539A"/>
    <w:rsid w:val="00B301B5"/>
    <w:rsid w:val="00B540F1"/>
    <w:rsid w:val="00B73B4B"/>
    <w:rsid w:val="00B76051"/>
    <w:rsid w:val="00B76EE7"/>
    <w:rsid w:val="00BA0E01"/>
    <w:rsid w:val="00BB091C"/>
    <w:rsid w:val="00BB50B6"/>
    <w:rsid w:val="00BD3C33"/>
    <w:rsid w:val="00C16014"/>
    <w:rsid w:val="00C20AD0"/>
    <w:rsid w:val="00C869A2"/>
    <w:rsid w:val="00CA2244"/>
    <w:rsid w:val="00CA7AD7"/>
    <w:rsid w:val="00CC5696"/>
    <w:rsid w:val="00CE26FB"/>
    <w:rsid w:val="00D31785"/>
    <w:rsid w:val="00D4633A"/>
    <w:rsid w:val="00D96316"/>
    <w:rsid w:val="00DB0E05"/>
    <w:rsid w:val="00DC274E"/>
    <w:rsid w:val="00E413C5"/>
    <w:rsid w:val="00E70C70"/>
    <w:rsid w:val="00E94305"/>
    <w:rsid w:val="00EA4F81"/>
    <w:rsid w:val="00EB76FB"/>
    <w:rsid w:val="00ED2289"/>
    <w:rsid w:val="00EE6B6C"/>
    <w:rsid w:val="00EF5ADE"/>
    <w:rsid w:val="00F05C02"/>
    <w:rsid w:val="00F24A3A"/>
    <w:rsid w:val="00F24D6D"/>
    <w:rsid w:val="00F35042"/>
    <w:rsid w:val="00F87279"/>
    <w:rsid w:val="00FB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F6938836-AF48-41F6-A375-074306E3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51"/>
    <w:pPr>
      <w:spacing w:after="200" w:line="276" w:lineRule="auto"/>
    </w:pPr>
    <w:rPr>
      <w:rFonts w:ascii="Calibri" w:eastAsia="Calibri" w:hAnsi="Calibri" w:cs="Calibri"/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3367E7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214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6E214C"/>
    <w:rPr>
      <w:rFonts w:ascii="Calibri" w:eastAsia="Calibri" w:hAnsi="Calibri" w:cs="Calibri"/>
      <w:sz w:val="22"/>
      <w:szCs w:val="22"/>
      <w:lang w:val="ru-RU"/>
    </w:rPr>
  </w:style>
  <w:style w:type="paragraph" w:styleId="a5">
    <w:name w:val="footer"/>
    <w:basedOn w:val="a"/>
    <w:link w:val="a6"/>
    <w:uiPriority w:val="99"/>
    <w:unhideWhenUsed/>
    <w:rsid w:val="006E214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E214C"/>
    <w:rPr>
      <w:rFonts w:ascii="Calibri" w:eastAsia="Calibri" w:hAnsi="Calibri" w:cs="Calibri"/>
      <w:sz w:val="22"/>
      <w:szCs w:val="2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0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05C02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List Paragraph"/>
    <w:basedOn w:val="a"/>
    <w:qFormat/>
    <w:rsid w:val="00CC569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67E7"/>
    <w:rPr>
      <w:rFonts w:eastAsia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3834</Words>
  <Characters>2186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 П. Кияница</dc:creator>
  <cp:keywords/>
  <dc:description/>
  <cp:lastModifiedBy>Віктор В. Чередниченко</cp:lastModifiedBy>
  <cp:revision>2</cp:revision>
  <cp:lastPrinted>2021-03-24T11:33:00Z</cp:lastPrinted>
  <dcterms:created xsi:type="dcterms:W3CDTF">2023-08-30T07:18:00Z</dcterms:created>
  <dcterms:modified xsi:type="dcterms:W3CDTF">2023-08-30T07:18:00Z</dcterms:modified>
</cp:coreProperties>
</file>