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Default="00F304C2" w:rsidP="00F3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973BE" w:rsidRDefault="001973BE" w:rsidP="00F304C2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відмову у відкритті конституційного провадження у справі за конституційною скаргою Листопада Олександра Анатолійовича щодо відповідності Конституції України (конституційності) положен</w:t>
      </w:r>
      <w:r w:rsidR="00353F79" w:rsidRP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ь</w:t>
      </w:r>
      <w:r w:rsidRP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частини третьої статті 551 Цивільного кодексу </w:t>
      </w:r>
      <w:r w:rsidR="00C6231F" w:rsidRP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України,</w:t>
      </w:r>
      <w:r w:rsid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пункту 2 частини першої</w:t>
      </w:r>
      <w:r w:rsid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P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статті 374 Цив</w:t>
      </w:r>
      <w:r w:rsid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ільного процесуального кодексу </w:t>
      </w:r>
      <w:r w:rsidRP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України </w:t>
      </w:r>
      <w:r w:rsidR="00F304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</w:p>
    <w:p w:rsidR="001973BE" w:rsidRPr="00F304C2" w:rsidRDefault="001973BE" w:rsidP="00F304C2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04C2">
        <w:rPr>
          <w:bCs/>
          <w:sz w:val="28"/>
          <w:szCs w:val="28"/>
          <w:lang w:val="uk-UA"/>
        </w:rPr>
        <w:t>м. К и ї в</w:t>
      </w:r>
      <w:r w:rsidRPr="00F304C2">
        <w:rPr>
          <w:b/>
          <w:bCs/>
          <w:sz w:val="28"/>
          <w:szCs w:val="28"/>
          <w:lang w:val="uk-UA"/>
        </w:rPr>
        <w:tab/>
      </w:r>
      <w:r w:rsidR="00F304C2">
        <w:rPr>
          <w:b/>
          <w:bCs/>
          <w:sz w:val="28"/>
          <w:szCs w:val="28"/>
          <w:lang w:val="uk-UA"/>
        </w:rPr>
        <w:tab/>
      </w:r>
      <w:r w:rsidR="00F304C2">
        <w:rPr>
          <w:b/>
          <w:bCs/>
          <w:sz w:val="28"/>
          <w:szCs w:val="28"/>
          <w:lang w:val="uk-UA"/>
        </w:rPr>
        <w:tab/>
      </w:r>
      <w:r w:rsidR="00F304C2">
        <w:rPr>
          <w:b/>
          <w:bCs/>
          <w:sz w:val="28"/>
          <w:szCs w:val="28"/>
          <w:lang w:val="uk-UA"/>
        </w:rPr>
        <w:tab/>
      </w:r>
      <w:r w:rsidR="00F304C2">
        <w:rPr>
          <w:b/>
          <w:bCs/>
          <w:sz w:val="28"/>
          <w:szCs w:val="28"/>
          <w:lang w:val="uk-UA"/>
        </w:rPr>
        <w:tab/>
      </w:r>
      <w:r w:rsidR="00F304C2">
        <w:rPr>
          <w:b/>
          <w:bCs/>
          <w:sz w:val="28"/>
          <w:szCs w:val="28"/>
          <w:lang w:val="uk-UA"/>
        </w:rPr>
        <w:tab/>
      </w:r>
      <w:r w:rsidR="00B71172">
        <w:rPr>
          <w:b/>
          <w:bCs/>
          <w:sz w:val="28"/>
          <w:szCs w:val="28"/>
          <w:lang w:val="uk-UA"/>
        </w:rPr>
        <w:t xml:space="preserve"> </w:t>
      </w:r>
      <w:r w:rsidRPr="00F304C2">
        <w:rPr>
          <w:bCs/>
          <w:sz w:val="28"/>
          <w:szCs w:val="28"/>
          <w:lang w:val="uk-UA"/>
        </w:rPr>
        <w:t xml:space="preserve">Справа </w:t>
      </w:r>
      <w:r w:rsidR="00B71172">
        <w:rPr>
          <w:bCs/>
          <w:sz w:val="28"/>
          <w:szCs w:val="28"/>
          <w:lang w:val="uk-UA"/>
        </w:rPr>
        <w:t xml:space="preserve">№ </w:t>
      </w:r>
      <w:r w:rsidRPr="00F304C2">
        <w:rPr>
          <w:bCs/>
          <w:sz w:val="28"/>
          <w:szCs w:val="28"/>
          <w:lang w:val="uk-UA"/>
        </w:rPr>
        <w:t>3-56/2021(130/21)</w:t>
      </w:r>
    </w:p>
    <w:p w:rsidR="001973BE" w:rsidRPr="00F304C2" w:rsidRDefault="00723E28" w:rsidP="00F304C2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04C2">
        <w:rPr>
          <w:sz w:val="28"/>
          <w:szCs w:val="28"/>
          <w:lang w:val="uk-UA"/>
        </w:rPr>
        <w:t xml:space="preserve">15 </w:t>
      </w:r>
      <w:r w:rsidR="001973BE" w:rsidRPr="00F304C2">
        <w:rPr>
          <w:sz w:val="28"/>
          <w:szCs w:val="28"/>
          <w:lang w:val="uk-UA"/>
        </w:rPr>
        <w:t>квітня 2021 року</w:t>
      </w:r>
    </w:p>
    <w:p w:rsidR="001973BE" w:rsidRPr="00F304C2" w:rsidRDefault="00B71172" w:rsidP="00F304C2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6A1A5D">
        <w:rPr>
          <w:sz w:val="28"/>
          <w:szCs w:val="28"/>
          <w:lang w:val="uk-UA"/>
        </w:rPr>
        <w:t>67</w:t>
      </w:r>
      <w:r w:rsidR="001973BE" w:rsidRPr="00F304C2">
        <w:rPr>
          <w:sz w:val="28"/>
          <w:szCs w:val="28"/>
          <w:lang w:val="uk-UA"/>
        </w:rPr>
        <w:t>-1(ІІ)</w:t>
      </w:r>
      <w:bookmarkEnd w:id="0"/>
      <w:r w:rsidR="001973BE" w:rsidRPr="00F304C2">
        <w:rPr>
          <w:sz w:val="28"/>
          <w:szCs w:val="28"/>
          <w:lang w:val="uk-UA"/>
        </w:rPr>
        <w:t>/2021</w:t>
      </w:r>
    </w:p>
    <w:p w:rsidR="00F304C2" w:rsidRDefault="00F304C2" w:rsidP="00F304C2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73BE" w:rsidRDefault="001973BE" w:rsidP="00F304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F304C2" w:rsidRPr="00F304C2" w:rsidRDefault="00F304C2" w:rsidP="00F304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3BE" w:rsidRPr="00F304C2" w:rsidRDefault="001973BE" w:rsidP="00F30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>Юровської Галини Валентинівни – головуючої,</w:t>
      </w:r>
    </w:p>
    <w:p w:rsidR="001973BE" w:rsidRPr="00F304C2" w:rsidRDefault="001973BE" w:rsidP="00F30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 – доповідача,</w:t>
      </w:r>
    </w:p>
    <w:p w:rsidR="001973BE" w:rsidRPr="00F304C2" w:rsidRDefault="00B678CD" w:rsidP="00F30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</w:t>
      </w:r>
      <w:r w:rsidR="001973BE" w:rsidRPr="00F304C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973BE" w:rsidRPr="00F304C2" w:rsidRDefault="001973BE" w:rsidP="00F304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72" w:rsidRDefault="001973BE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Листопада Олександра Анатолійовича щодо відповідності Конституції України (конституційності) положен</w:t>
      </w:r>
      <w:r w:rsidR="00353F79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ь</w:t>
      </w: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частини третьої статті 551 Цивільного кодексу </w:t>
      </w:r>
      <w:r w:rsidR="00C6231F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України,</w:t>
      </w: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пункту 2 частини першої статті 374 Цивільного процесуального кодексу України</w:t>
      </w:r>
      <w:r w:rsidR="00353F79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1973BE" w:rsidRPr="00F304C2" w:rsidRDefault="001973BE" w:rsidP="00F3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973BE" w:rsidRPr="00F304C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F304C2" w:rsidRPr="00F304C2" w:rsidRDefault="00F304C2" w:rsidP="00F304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973BE" w:rsidRPr="00F304C2" w:rsidRDefault="001973BE" w:rsidP="00F304C2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F304C2" w:rsidRDefault="00F304C2" w:rsidP="00F3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C3A3E" w:rsidRPr="00F304C2" w:rsidRDefault="001973BE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560C6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Листопад О.А.</w:t>
      </w: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вернувся до Конституційного Суду України з клопотанням перевірити на відповідність </w:t>
      </w:r>
      <w:r w:rsid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частині третій статті 8,</w:t>
      </w:r>
      <w:r w:rsid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C560C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частині четвертій статті 13, частин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C560C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четверт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C560C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сьом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C560C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статті 43, частин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C560C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перш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C560C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C560C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статті 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129 Конституції України (конституційність) </w:t>
      </w:r>
      <w:r w:rsidR="000C3A3E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положення частини третьої статті 551 Цивільного кодексу України </w:t>
      </w:r>
      <w:r w:rsidR="000C3A3E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(далі – </w:t>
      </w:r>
      <w:r w:rsidR="00F93DC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ЦК України</w:t>
      </w:r>
      <w:r w:rsidR="000C3A3E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пункту 2</w:t>
      </w:r>
      <w:r w:rsid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0C3A3E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частини першої статті 374 Цивільного</w:t>
      </w:r>
      <w:r w:rsidR="00DB0E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DB0E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0C3A3E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(далі – </w:t>
      </w:r>
      <w:r w:rsidR="003E5011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ЦПК України).</w:t>
      </w:r>
    </w:p>
    <w:p w:rsidR="004B3C3C" w:rsidRPr="00F304C2" w:rsidRDefault="004B3C3C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Частиною третьою статті 551 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ЦК України передбачено, що розмір неустойки може бути зменшений за рішенням суду, якщо він значно перевищує розмір збитків, та за наявності інших обставин, які мають істотне значення.</w:t>
      </w:r>
    </w:p>
    <w:p w:rsidR="004B3C3C" w:rsidRPr="00F304C2" w:rsidRDefault="004B3C3C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Відповідно до пункту 2 частини першої статті 374 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ЦПК України надано право суду апеляційної інстанції за результатами розгляду апеляційної скарги скасовувати судове рішення суду першої інстанції повністю або частково і ухвалювати у відповідній частині нове рішення аб</w:t>
      </w:r>
      <w:r w:rsidR="00E723F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змін</w:t>
      </w:r>
      <w:r w:rsidR="001A46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ювати</w:t>
      </w:r>
      <w:r w:rsidR="00E723F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рішення.</w:t>
      </w:r>
    </w:p>
    <w:p w:rsidR="001973BE" w:rsidRPr="00F304C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копій судових рішень вбачається таке.</w:t>
      </w:r>
    </w:p>
    <w:p w:rsidR="00B71172" w:rsidRDefault="00431876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Печерський районний суд міста Києва </w:t>
      </w:r>
      <w:r w:rsidR="00C659E8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рішенням від 21 жовтня 2019 року </w:t>
      </w:r>
      <w:r w:rsidR="00A20207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задово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льнив позов Листопада О.А. </w:t>
      </w:r>
      <w:r w:rsidR="00C659E8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А</w:t>
      </w:r>
      <w:r w:rsidR="00D333A0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кціонерного товариства </w:t>
      </w:r>
      <w:r w:rsidR="00D333A0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="00C659E8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Українська залізниця</w:t>
      </w:r>
      <w:r w:rsidR="00D333A0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C659E8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стягнення заборгованості із заробітної плати, грошової компенсації </w:t>
      </w:r>
      <w:r w:rsidR="00A20207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C659E8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втрати частини заробітної плати у зв’язку з порушенням термінів її виплати та суми середнього заробітку за час затримки розрахунку при звільненні.</w:t>
      </w:r>
    </w:p>
    <w:p w:rsidR="00F93DCF" w:rsidRPr="00F304C2" w:rsidRDefault="00D333A0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Київський апеляційний суд 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остановою від 11 січня 2021 року апеляційну скаргу Акціонерного товариства 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Українська залізниця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A20207"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задово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льнив частково, змінивши рішення суду першої інстанції в частині позовни</w:t>
      </w:r>
      <w:r w:rsidR="00F93DCF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вимог про стягнення </w:t>
      </w:r>
      <w:r w:rsidR="00F93DCF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середнього заробітку за час затримки розрахунку при звільненні, зменшивши його розмір.</w:t>
      </w:r>
    </w:p>
    <w:p w:rsidR="003E5011" w:rsidRPr="00F304C2" w:rsidRDefault="006854D1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Верховний Суд </w:t>
      </w:r>
      <w:r w:rsidR="001A46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ухвалою 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від 10 березня 2021 року</w:t>
      </w:r>
      <w:r w:rsidR="00B711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відмовив у відкритті касаційного провадження за касаційною скаргою Листопада О.А. щодо постанови </w:t>
      </w:r>
      <w:r w:rsidR="00BD1D1D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суду апеляційної інстанції.</w:t>
      </w:r>
    </w:p>
    <w:p w:rsidR="00E47EDF" w:rsidRDefault="001973BE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Автор клопотання стверджує, що </w:t>
      </w:r>
      <w:r w:rsidR="00BE46B5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застосування судами </w:t>
      </w:r>
      <w:r w:rsidR="00E47ED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оспорюван</w:t>
      </w:r>
      <w:r w:rsidR="00BE46B5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E47ED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положен</w:t>
      </w:r>
      <w:r w:rsidR="00BE46B5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47ED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ЦК України та ЦПК України порушу</w:t>
      </w:r>
      <w:r w:rsidR="00353F79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E47ED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його конституційні права та </w:t>
      </w:r>
      <w:r w:rsidR="00E47ED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гарантії, зокрема на судовий захист, справедливий суд, соціальну справедливість, заробітну плату.</w:t>
      </w:r>
    </w:p>
    <w:p w:rsidR="00F304C2" w:rsidRPr="00F304C2" w:rsidRDefault="00F304C2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7117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B7117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Згідно із Законом України „Про Конституційний Суд України“ конституційна скарга вважається прийнятною, зокрема, за умов її відповідності вимогам, передбаченим статтями 55, 56 цього закону (абзац перший</w:t>
      </w:r>
      <w:r w:rsidR="00F304C2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частини першої статті 77); </w:t>
      </w:r>
      <w:r w:rsidR="00B10CEE" w:rsidRPr="00F304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конституційною скаргою є подане до Конституційного Суду </w:t>
      </w:r>
      <w:r w:rsidR="00353F79" w:rsidRPr="00F304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="00B10CEE" w:rsidRPr="00F304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письмове клопотання </w:t>
      </w:r>
      <w:r w:rsidR="001A4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перевірки на відповідність </w:t>
      </w:r>
      <w:hyperlink r:id="rId6" w:tgtFrame="_blank" w:history="1">
        <w:r w:rsidR="00B10CEE" w:rsidRPr="00F304C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Конституції України</w:t>
        </w:r>
      </w:hyperlink>
      <w:r w:rsidR="00B10CEE" w:rsidRPr="00F304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(конституційність) закону України (його окремих положень), що застосований в остаточному судовому рішенні у справі суб’єкта права на конституційну ск</w:t>
      </w:r>
      <w:r w:rsidR="00353F79" w:rsidRPr="00F304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аргу (частина перша статті 55);</w:t>
      </w:r>
      <w:r w:rsidR="00F304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у конституційній скарзі 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</w:t>
      </w:r>
      <w:r w:rsidR="00F304C2">
        <w:rPr>
          <w:rFonts w:ascii="Times New Roman" w:hAnsi="Times New Roman" w:cs="Times New Roman"/>
          <w:sz w:val="28"/>
          <w:szCs w:val="28"/>
          <w:lang w:val="uk-UA" w:eastAsia="uk-UA"/>
        </w:rPr>
        <w:t>астосування закону (пункти 5, 6</w:t>
      </w:r>
      <w:r w:rsidR="00F304C2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частини другої статті 55).</w:t>
      </w:r>
    </w:p>
    <w:p w:rsidR="00DA6D37" w:rsidRPr="00F304C2" w:rsidRDefault="00DA6D37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Листопад О.А. </w:t>
      </w:r>
      <w:r w:rsidR="00353F79" w:rsidRPr="00F304C2">
        <w:rPr>
          <w:rFonts w:ascii="Times New Roman" w:hAnsi="Times New Roman" w:cs="Times New Roman"/>
          <w:sz w:val="28"/>
          <w:szCs w:val="28"/>
          <w:lang w:val="uk-UA"/>
        </w:rPr>
        <w:t>зазначає</w:t>
      </w:r>
      <w:r w:rsidR="00A26A76" w:rsidRPr="00F304C2">
        <w:rPr>
          <w:rFonts w:ascii="Times New Roman" w:hAnsi="Times New Roman" w:cs="Times New Roman"/>
          <w:sz w:val="28"/>
          <w:szCs w:val="28"/>
          <w:lang w:val="uk-UA"/>
        </w:rPr>
        <w:t>, що порушено його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конституційн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гаранті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зокрема на судовий захист, справедливий суд, соціальну справедливість, заробітну плату, не нижчу від 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встановленої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законом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своєчасність одержання винагороди за працю.</w:t>
      </w:r>
    </w:p>
    <w:p w:rsidR="00B71172" w:rsidRDefault="00202988" w:rsidP="00F304C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Разом з тим, як свідчать матеріали конституційної скарги, автор клопотання скористався правом на судовий захист, зокрема ухваленими у </w:t>
      </w:r>
      <w:r w:rsidR="00935AF1"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його 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справі </w:t>
      </w:r>
      <w:r w:rsidR="00935AF1"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судовими 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рішеннями встановлено порушення його прав, стягнуто 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заборгованість із заробітної плати, грошову компенсацію втрати частини </w:t>
      </w:r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заробітної плати у зв’язку з порушенням термінів її виплати та суму середнього заробітку за час затримки розрахунку при звільненні.</w:t>
      </w:r>
    </w:p>
    <w:p w:rsidR="005A4FFF" w:rsidRPr="00F304C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" w:name="_Hlk49273498"/>
      <w:r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5A4FF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гідно 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ухваленими у </w:t>
      </w:r>
      <w:r w:rsidR="00935AF1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його 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справі </w:t>
      </w:r>
      <w:r w:rsidR="00935AF1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судовими 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рішеннями</w:t>
      </w:r>
      <w:r w:rsidR="005A4FF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позовні вимоги </w:t>
      </w:r>
      <w:r w:rsidR="00A26A76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Листопада О.А</w:t>
      </w:r>
      <w:r w:rsidR="001A46B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26A76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4FF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були задоволені лише в частині</w:t>
      </w:r>
      <w:r w:rsidR="005A4FFF"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стягнення середнього заробітку за час затримки розрахунку при звільненні в об</w:t>
      </w:r>
      <w:r w:rsidR="00A26A76"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численому ним </w:t>
      </w:r>
      <w:r w:rsidR="005A4FFF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розмірі, розмір був встановлений судом апеляційної інстанції з наведенням відповідного</w:t>
      </w:r>
      <w:r w:rsidR="005A4FFF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обґрунтування в остаточному судовому рішенні. </w:t>
      </w:r>
      <w:r w:rsidR="00C21FB7" w:rsidRPr="00F30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Саме з цією частиною постанови </w:t>
      </w:r>
      <w:r w:rsidR="00C21FB7"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Київського апеляційного суду від 11 січня 2021 року не погоджується </w:t>
      </w:r>
      <w:r w:rsidR="00FD4FC3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Листопад О.А</w:t>
      </w:r>
      <w:r w:rsidR="001A46B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C21FB7"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FC3" w:rsidRPr="00F304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1FB7"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 стверджує, що „судом апеляційної інстанції не було взято до уваги та не враховано ані май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новий стан позивача, що не дав </w:t>
      </w:r>
      <w:r w:rsidR="00C21FB7" w:rsidRPr="00F304C2">
        <w:rPr>
          <w:rFonts w:ascii="Times New Roman" w:hAnsi="Times New Roman" w:cs="Times New Roman"/>
          <w:sz w:val="28"/>
          <w:szCs w:val="28"/>
          <w:lang w:val="uk-UA"/>
        </w:rPr>
        <w:t>можливості звернутися до суду за захистом своїх прав, ані факт проживання позивача на окупованій території, ані недобросовісну поведінку відповідача</w:t>
      </w:r>
      <w:r w:rsidR="00C21FB7" w:rsidRPr="00F304C2">
        <w:rPr>
          <w:rFonts w:ascii="Times New Roman" w:hAnsi="Times New Roman" w:cs="Times New Roman"/>
          <w:sz w:val="28"/>
          <w:szCs w:val="28"/>
          <w:lang w:val="uk-UA" w:eastAsia="uk-UA"/>
        </w:rPr>
        <w:t>“.</w:t>
      </w:r>
    </w:p>
    <w:p w:rsidR="00064BB0" w:rsidRPr="00F304C2" w:rsidRDefault="00064BB0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аналізу судових рішень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вбачається, що всупереч твердженню автора клопотання, положення частини третьої статті 551 ЦК України суди у своїх рішеннях не застосовували.</w:t>
      </w:r>
    </w:p>
    <w:p w:rsidR="00613B99" w:rsidRPr="00F304C2" w:rsidRDefault="00613B99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неодноразово наголошував, що 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особа,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звертається до Конституційного Суду України, повинна не лише зазначити,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й аргументовано довести, як саме оспорюваний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 закон (окремі його положення),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який був застосований в остаточному судовому рішенні в її справі, порушує її гарантоване 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право (Ухвала Першого сена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ту Конституційного Суду України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від 13 червня 2018 року </w:t>
      </w:r>
      <w:r w:rsidR="00B7117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20-у(І)/2018, Ухвала Другого сенату Конституційного Суду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3 червня 2020 року</w:t>
      </w:r>
      <w:r w:rsidR="00F304C2">
        <w:rPr>
          <w:rFonts w:ascii="Times New Roman" w:hAnsi="Times New Roman" w:cs="Times New Roman"/>
          <w:sz w:val="28"/>
          <w:szCs w:val="28"/>
          <w:lang w:val="uk-UA"/>
        </w:rPr>
        <w:br/>
      </w:r>
      <w:r w:rsidR="00B7117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10-уп(ІІ)/2020).</w:t>
      </w:r>
    </w:p>
    <w:p w:rsidR="00613B99" w:rsidRPr="00F304C2" w:rsidRDefault="00613B99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>Аналіз конституційної скарги вказує на те, що Листопад О.А. фактично висловлює незгоду з судовими рішеннями у його справі</w:t>
      </w:r>
      <w:r w:rsidR="00FD4FC3" w:rsidRPr="00F304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FC3" w:rsidRPr="00F304C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днак така незгода не є обґрунтуванням тверджень щодо неконституційності оспорюваних положень </w:t>
      </w:r>
      <w:r w:rsidR="00FD4FC3"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ЦК України, ЦПК України </w:t>
      </w:r>
      <w:r w:rsidRPr="00F304C2">
        <w:rPr>
          <w:rFonts w:ascii="Times New Roman" w:hAnsi="Times New Roman" w:cs="Times New Roman"/>
          <w:sz w:val="28"/>
          <w:szCs w:val="28"/>
          <w:lang w:val="uk-UA"/>
        </w:rPr>
        <w:t>в розумінні вимог пункту 6 частини другої статті 55 Закону України „Про Конституційний Суд України“.</w:t>
      </w:r>
    </w:p>
    <w:p w:rsidR="00613B99" w:rsidRPr="00F304C2" w:rsidRDefault="00613B99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Наведене є підставою для відмови у відкритті конституційного провадження у справі згідно з </w:t>
      </w:r>
      <w:r w:rsidR="00351451" w:rsidRPr="00F304C2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1A46B7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351451" w:rsidRPr="00F304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статті 62 Закону України „Про Конституційний Суд України“ –</w:t>
      </w:r>
      <w:r w:rsidR="0092098C" w:rsidRPr="00F304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51451" w:rsidRPr="00F304C2">
        <w:rPr>
          <w:rFonts w:ascii="Times New Roman" w:hAnsi="Times New Roman" w:cs="Times New Roman"/>
          <w:bCs/>
          <w:sz w:val="28"/>
          <w:szCs w:val="28"/>
          <w:lang w:val="uk-UA"/>
        </w:rPr>
        <w:t>неприйнятність конституційної скарги.</w:t>
      </w:r>
    </w:p>
    <w:bookmarkEnd w:id="1"/>
    <w:p w:rsidR="001973BE" w:rsidRPr="00F304C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викладене та керуючись статтями 147, 151</w:t>
      </w:r>
      <w:r w:rsidRPr="00F304C2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 та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1973BE" w:rsidRPr="00F304C2" w:rsidRDefault="001973BE" w:rsidP="00F304C2">
      <w:pPr>
        <w:spacing w:after="0" w:line="34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973BE" w:rsidRPr="00F304C2" w:rsidRDefault="001973BE" w:rsidP="00F304C2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304C2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:rsidR="001973BE" w:rsidRPr="00F304C2" w:rsidRDefault="001973BE" w:rsidP="00F304C2">
      <w:pPr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73BE" w:rsidRPr="00F304C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613B99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Листопада Олександра Анатолійовича щодо відповідності Конституції України (конституційності) положен</w:t>
      </w:r>
      <w:r w:rsidR="00FD4FC3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ь </w:t>
      </w:r>
      <w:r w:rsidR="00613B99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частини третьої статті 551 Цивільного кодексу </w:t>
      </w:r>
      <w:r w:rsidR="00C6231F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України,</w:t>
      </w:r>
      <w:r w:rsidR="00613B99"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пункту 2 частини першої статті 374 Цивільного процесуального кодексу України</w:t>
      </w:r>
      <w:r w:rsidRPr="00F304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04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</w:t>
      </w:r>
      <w:r w:rsidR="00351451" w:rsidRPr="00F304C2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92098C" w:rsidRPr="00F304C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F304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статті 62 Закону України „Про Конституційний Суд України“ –</w:t>
      </w:r>
      <w:r w:rsidR="00935AF1" w:rsidRPr="00F304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04C2">
        <w:rPr>
          <w:rFonts w:ascii="Times New Roman" w:hAnsi="Times New Roman" w:cs="Times New Roman"/>
          <w:bCs/>
          <w:sz w:val="28"/>
          <w:szCs w:val="28"/>
          <w:lang w:val="uk-UA"/>
        </w:rPr>
        <w:t>неприйнятність конституційної скарги.</w:t>
      </w:r>
    </w:p>
    <w:p w:rsidR="001973BE" w:rsidRPr="00F304C2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973BE" w:rsidRDefault="001973BE" w:rsidP="00F304C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</w:t>
      </w:r>
      <w:r w:rsidRPr="00F304C2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304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України </w:t>
      </w:r>
      <w:r w:rsidRPr="00F304C2">
        <w:rPr>
          <w:rFonts w:ascii="Times New Roman" w:hAnsi="Times New Roman" w:cs="Times New Roman"/>
          <w:sz w:val="28"/>
          <w:szCs w:val="28"/>
          <w:lang w:val="ru-RU" w:eastAsia="uk-UA"/>
        </w:rPr>
        <w:t>є остаточною.</w:t>
      </w:r>
    </w:p>
    <w:p w:rsidR="00F304C2" w:rsidRDefault="00F304C2" w:rsidP="00F30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F304C2" w:rsidRDefault="00F304C2" w:rsidP="00F30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F304C2" w:rsidRDefault="00F304C2" w:rsidP="00F30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BA441F" w:rsidRPr="00BA441F" w:rsidRDefault="00BA441F" w:rsidP="00BA441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441F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:rsidR="00BA441F" w:rsidRPr="00BA441F" w:rsidRDefault="00BA441F" w:rsidP="00BA441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441F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BA441F" w:rsidRPr="00BA441F" w:rsidRDefault="00BA441F" w:rsidP="00BA441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uk-UA"/>
        </w:rPr>
      </w:pPr>
      <w:r w:rsidRPr="00BA441F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BA441F" w:rsidRPr="00BA441F" w:rsidSect="00F304C2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D5" w:rsidRDefault="00C65DD5">
      <w:pPr>
        <w:spacing w:after="0" w:line="240" w:lineRule="auto"/>
      </w:pPr>
      <w:r>
        <w:separator/>
      </w:r>
    </w:p>
  </w:endnote>
  <w:endnote w:type="continuationSeparator" w:id="0">
    <w:p w:rsidR="00C65DD5" w:rsidRDefault="00C6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C2" w:rsidRPr="00F304C2" w:rsidRDefault="00F304C2">
    <w:pPr>
      <w:pStyle w:val="a7"/>
      <w:rPr>
        <w:rFonts w:ascii="Times New Roman" w:hAnsi="Times New Roman" w:cs="Times New Roman"/>
        <w:sz w:val="10"/>
        <w:szCs w:val="10"/>
      </w:rPr>
    </w:pPr>
    <w:r w:rsidRPr="00F304C2">
      <w:rPr>
        <w:rFonts w:ascii="Times New Roman" w:hAnsi="Times New Roman" w:cs="Times New Roman"/>
        <w:sz w:val="10"/>
        <w:szCs w:val="10"/>
      </w:rPr>
      <w:fldChar w:fldCharType="begin"/>
    </w:r>
    <w:r w:rsidRPr="00F304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304C2">
      <w:rPr>
        <w:rFonts w:ascii="Times New Roman" w:hAnsi="Times New Roman" w:cs="Times New Roman"/>
        <w:sz w:val="10"/>
        <w:szCs w:val="10"/>
      </w:rPr>
      <w:fldChar w:fldCharType="separate"/>
    </w:r>
    <w:r w:rsidR="00BA441F">
      <w:rPr>
        <w:rFonts w:ascii="Times New Roman" w:hAnsi="Times New Roman" w:cs="Times New Roman"/>
        <w:noProof/>
        <w:sz w:val="10"/>
        <w:szCs w:val="10"/>
        <w:lang w:val="uk-UA"/>
      </w:rPr>
      <w:t>G:\2021\Suddi\II senat\I koleg\9.docx</w:t>
    </w:r>
    <w:r w:rsidRPr="00F304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C2" w:rsidRPr="00F304C2" w:rsidRDefault="00F304C2">
    <w:pPr>
      <w:pStyle w:val="a7"/>
      <w:rPr>
        <w:rFonts w:ascii="Times New Roman" w:hAnsi="Times New Roman" w:cs="Times New Roman"/>
        <w:sz w:val="10"/>
        <w:szCs w:val="10"/>
      </w:rPr>
    </w:pPr>
    <w:r w:rsidRPr="00F304C2">
      <w:rPr>
        <w:rFonts w:ascii="Times New Roman" w:hAnsi="Times New Roman" w:cs="Times New Roman"/>
        <w:sz w:val="10"/>
        <w:szCs w:val="10"/>
      </w:rPr>
      <w:fldChar w:fldCharType="begin"/>
    </w:r>
    <w:r w:rsidRPr="00F304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304C2">
      <w:rPr>
        <w:rFonts w:ascii="Times New Roman" w:hAnsi="Times New Roman" w:cs="Times New Roman"/>
        <w:sz w:val="10"/>
        <w:szCs w:val="10"/>
      </w:rPr>
      <w:fldChar w:fldCharType="separate"/>
    </w:r>
    <w:r w:rsidR="00BA441F">
      <w:rPr>
        <w:rFonts w:ascii="Times New Roman" w:hAnsi="Times New Roman" w:cs="Times New Roman"/>
        <w:noProof/>
        <w:sz w:val="10"/>
        <w:szCs w:val="10"/>
        <w:lang w:val="uk-UA"/>
      </w:rPr>
      <w:t>G:\2021\Suddi\II senat\I koleg\9.docx</w:t>
    </w:r>
    <w:r w:rsidRPr="00F304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D5" w:rsidRDefault="00C65DD5">
      <w:pPr>
        <w:spacing w:after="0" w:line="240" w:lineRule="auto"/>
      </w:pPr>
      <w:r>
        <w:separator/>
      </w:r>
    </w:p>
  </w:footnote>
  <w:footnote w:type="continuationSeparator" w:id="0">
    <w:p w:rsidR="00C65DD5" w:rsidRDefault="00C6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59E" w:rsidRPr="00F304C2" w:rsidRDefault="009209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04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04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04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172" w:rsidRPr="00B7117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04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99"/>
    <w:rsid w:val="0001413D"/>
    <w:rsid w:val="00064BB0"/>
    <w:rsid w:val="000C3A3E"/>
    <w:rsid w:val="001973BE"/>
    <w:rsid w:val="001A46B7"/>
    <w:rsid w:val="001E223D"/>
    <w:rsid w:val="00202988"/>
    <w:rsid w:val="00217C5D"/>
    <w:rsid w:val="00281927"/>
    <w:rsid w:val="002C4432"/>
    <w:rsid w:val="002F1FFD"/>
    <w:rsid w:val="00351451"/>
    <w:rsid w:val="00353F79"/>
    <w:rsid w:val="003E5011"/>
    <w:rsid w:val="004244AE"/>
    <w:rsid w:val="00431876"/>
    <w:rsid w:val="00493D57"/>
    <w:rsid w:val="004B3C3C"/>
    <w:rsid w:val="005A4FFF"/>
    <w:rsid w:val="00613B99"/>
    <w:rsid w:val="006854D1"/>
    <w:rsid w:val="006960CE"/>
    <w:rsid w:val="006A1A5D"/>
    <w:rsid w:val="006A4F78"/>
    <w:rsid w:val="00723E28"/>
    <w:rsid w:val="008E1F99"/>
    <w:rsid w:val="0092098C"/>
    <w:rsid w:val="00935AF1"/>
    <w:rsid w:val="00A20207"/>
    <w:rsid w:val="00A26A76"/>
    <w:rsid w:val="00B10CEE"/>
    <w:rsid w:val="00B678CD"/>
    <w:rsid w:val="00B71172"/>
    <w:rsid w:val="00BA3362"/>
    <w:rsid w:val="00BA441F"/>
    <w:rsid w:val="00BD1D1D"/>
    <w:rsid w:val="00BE46B5"/>
    <w:rsid w:val="00C21FB7"/>
    <w:rsid w:val="00C560C6"/>
    <w:rsid w:val="00C57909"/>
    <w:rsid w:val="00C6231F"/>
    <w:rsid w:val="00C659E8"/>
    <w:rsid w:val="00C65DD5"/>
    <w:rsid w:val="00C87F2C"/>
    <w:rsid w:val="00D333A0"/>
    <w:rsid w:val="00DA6D37"/>
    <w:rsid w:val="00DB0E8E"/>
    <w:rsid w:val="00E47EDF"/>
    <w:rsid w:val="00E723FF"/>
    <w:rsid w:val="00EB4B8D"/>
    <w:rsid w:val="00F10513"/>
    <w:rsid w:val="00F15BC8"/>
    <w:rsid w:val="00F304C2"/>
    <w:rsid w:val="00F30597"/>
    <w:rsid w:val="00F93DCF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8ED8-B42E-4E6B-9F15-074FB19C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BE"/>
  </w:style>
  <w:style w:type="paragraph" w:styleId="1">
    <w:name w:val="heading 1"/>
    <w:basedOn w:val="a"/>
    <w:next w:val="a"/>
    <w:link w:val="10"/>
    <w:qFormat/>
    <w:rsid w:val="00F304C2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9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973BE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73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973BE"/>
  </w:style>
  <w:style w:type="paragraph" w:styleId="a5">
    <w:name w:val="List Paragraph"/>
    <w:basedOn w:val="a"/>
    <w:uiPriority w:val="34"/>
    <w:qFormat/>
    <w:rsid w:val="004B3C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10CEE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304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304C2"/>
  </w:style>
  <w:style w:type="character" w:customStyle="1" w:styleId="10">
    <w:name w:val="Заголовок 1 Знак"/>
    <w:basedOn w:val="a0"/>
    <w:link w:val="1"/>
    <w:rsid w:val="00F304C2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5169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2021-04-15T10:47:00Z</cp:lastPrinted>
  <dcterms:created xsi:type="dcterms:W3CDTF">2023-08-30T07:17:00Z</dcterms:created>
  <dcterms:modified xsi:type="dcterms:W3CDTF">2023-08-30T07:17:00Z</dcterms:modified>
</cp:coreProperties>
</file>