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156" w:rsidRDefault="00777156" w:rsidP="008E1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14DC" w:rsidRPr="008E14DC" w:rsidRDefault="008E14DC" w:rsidP="008E1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77156" w:rsidRDefault="00777156" w:rsidP="008E1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14DC" w:rsidRDefault="008E14DC" w:rsidP="008E1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14DC" w:rsidRDefault="008E14DC" w:rsidP="008E1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14DC" w:rsidRDefault="008E14DC" w:rsidP="008E1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14DC" w:rsidRPr="008E14DC" w:rsidRDefault="008E14DC" w:rsidP="008E1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77156" w:rsidRPr="008E14DC" w:rsidRDefault="00777156" w:rsidP="008E14DC">
      <w:pPr>
        <w:tabs>
          <w:tab w:val="center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8E14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 відмову у відкритті конституційного провадження у справі за конституційною скаргою </w:t>
      </w:r>
      <w:bookmarkStart w:id="0" w:name="_Hlk185094899"/>
      <w:r w:rsidRPr="008E14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Кравчука Олександра Васильовича щодо відповідності Конституції України (конституційності) абзацу дванадцятого пункту 2 частини четвертої статті 374 Кримінального процесуального </w:t>
      </w:r>
      <w:r w:rsidR="008E14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8E14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8E14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кодексу України</w:t>
      </w:r>
    </w:p>
    <w:bookmarkEnd w:id="0"/>
    <w:p w:rsidR="00777156" w:rsidRPr="008E14DC" w:rsidRDefault="00777156" w:rsidP="008E14D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777156" w:rsidRPr="008E14DC" w:rsidRDefault="00777156" w:rsidP="008E14DC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и ї в</w:t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Справа № 3-129/2025(254/25)</w:t>
      </w:r>
    </w:p>
    <w:p w:rsidR="00777156" w:rsidRPr="008E14DC" w:rsidRDefault="00574530" w:rsidP="008E14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5 </w:t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листопада</w:t>
      </w:r>
      <w:r w:rsidR="00777156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2025 року</w:t>
      </w:r>
    </w:p>
    <w:p w:rsidR="00777156" w:rsidRPr="008E14DC" w:rsidRDefault="00777156" w:rsidP="008E14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="00574530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74-у</w:t>
      </w:r>
      <w:r w:rsidR="00754E8E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(І)</w:t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/2025</w:t>
      </w:r>
      <w:r w:rsidRPr="008E14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777156" w:rsidRPr="008E14DC" w:rsidRDefault="00777156" w:rsidP="008E14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4D1F" w:rsidRPr="008E14DC" w:rsidRDefault="00134D1F" w:rsidP="008E14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14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Перший сенат Конституційного Суду України у складі суддів:</w:t>
      </w:r>
    </w:p>
    <w:p w:rsidR="00134D1F" w:rsidRPr="008E14DC" w:rsidRDefault="00134D1F" w:rsidP="008E14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34D1F" w:rsidRPr="008E14DC" w:rsidRDefault="00134D1F" w:rsidP="008E14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14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Петришина</w:t>
      </w:r>
      <w:proofErr w:type="spellEnd"/>
      <w:r w:rsidRPr="008E14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Олександра Віталійовича – головуючого,</w:t>
      </w:r>
    </w:p>
    <w:p w:rsidR="00134D1F" w:rsidRPr="008E14DC" w:rsidRDefault="00134D1F" w:rsidP="008E14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14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Барабаша Юрія Григоровича</w:t>
      </w:r>
      <w:r w:rsidR="00D7049A" w:rsidRPr="008E14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34D1F" w:rsidRPr="008E14DC" w:rsidRDefault="00134D1F" w:rsidP="008E14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14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Грищу</w:t>
      </w:r>
      <w:r w:rsidRPr="008E14DC">
        <w:rPr>
          <w:rFonts w:ascii="Times New Roman" w:hAnsi="Times New Roman" w:cs="Times New Roman"/>
          <w:sz w:val="28"/>
          <w:szCs w:val="28"/>
        </w:rPr>
        <w:t>к Оксани Вікторівни</w:t>
      </w:r>
      <w:r w:rsidRPr="008E14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34D1F" w:rsidRPr="008E14DC" w:rsidRDefault="00134D1F" w:rsidP="008E14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14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Кичуна</w:t>
      </w:r>
      <w:proofErr w:type="spellEnd"/>
      <w:r w:rsidRPr="008E14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Віктора Івановича,</w:t>
      </w:r>
    </w:p>
    <w:p w:rsidR="00134D1F" w:rsidRPr="008E14DC" w:rsidRDefault="00134D1F" w:rsidP="008E14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14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Олійник Алли Сергіївни – доповідача,</w:t>
      </w:r>
    </w:p>
    <w:p w:rsidR="00134D1F" w:rsidRPr="008E14DC" w:rsidRDefault="00134D1F" w:rsidP="008E14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14DC">
        <w:rPr>
          <w:rFonts w:ascii="Times New Roman" w:hAnsi="Times New Roman" w:cs="Times New Roman"/>
          <w:sz w:val="28"/>
          <w:szCs w:val="28"/>
        </w:rPr>
        <w:t>Совгирі</w:t>
      </w:r>
      <w:proofErr w:type="spellEnd"/>
      <w:r w:rsidRPr="008E14DC">
        <w:rPr>
          <w:rFonts w:ascii="Times New Roman" w:hAnsi="Times New Roman" w:cs="Times New Roman"/>
          <w:sz w:val="28"/>
          <w:szCs w:val="28"/>
        </w:rPr>
        <w:t xml:space="preserve"> Ольги Володимирівни</w:t>
      </w:r>
      <w:r w:rsidRPr="008E14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34D1F" w:rsidRPr="008E14DC" w:rsidRDefault="00134D1F" w:rsidP="008E14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14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Філюка</w:t>
      </w:r>
      <w:proofErr w:type="spellEnd"/>
      <w:r w:rsidRPr="008E14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Петра </w:t>
      </w:r>
      <w:proofErr w:type="spellStart"/>
      <w:r w:rsidRPr="008E14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Тодосьовича</w:t>
      </w:r>
      <w:proofErr w:type="spellEnd"/>
      <w:r w:rsidRPr="008E14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34D1F" w:rsidRPr="008E14DC" w:rsidRDefault="00134D1F" w:rsidP="008E14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7156" w:rsidRPr="008E14DC" w:rsidRDefault="00777156" w:rsidP="005803D7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розгляну</w:t>
      </w:r>
      <w:r w:rsidR="00134D1F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засіданні питання </w:t>
      </w:r>
      <w:r w:rsidR="00134D1F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щодо </w:t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відкриття конституційного провадження у справі за конституційною скаргою Кравчука Олександра Васильовича щодо відповідності Конституції України (конституційності)</w:t>
      </w:r>
      <w:r w:rsid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абзацу дванадцятого пункту 2 частини четвертої статті 374 Кримінального процесуального кодексу України.</w:t>
      </w:r>
    </w:p>
    <w:p w:rsidR="00777156" w:rsidRPr="008E14DC" w:rsidRDefault="00777156" w:rsidP="00580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7156" w:rsidRPr="008E14DC" w:rsidRDefault="00777156" w:rsidP="005803D7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Заслухавши суддю-доповідача Олійник А.С. та дослідивши матеріали справи, </w:t>
      </w:r>
      <w:r w:rsidR="00134D1F" w:rsidRPr="008E14DC">
        <w:rPr>
          <w:rFonts w:ascii="Times New Roman" w:hAnsi="Times New Roman" w:cs="Times New Roman"/>
          <w:color w:val="000000" w:themeColor="text1"/>
          <w:sz w:val="28"/>
          <w:szCs w:val="28"/>
        </w:rPr>
        <w:t>Перший сенат</w:t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Конституційного Суду України</w:t>
      </w:r>
    </w:p>
    <w:p w:rsidR="00134D1F" w:rsidRPr="008E14DC" w:rsidRDefault="00134D1F" w:rsidP="00580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4D1F" w:rsidRPr="008E14DC" w:rsidRDefault="00134D1F" w:rsidP="005803D7">
      <w:pPr>
        <w:spacing w:after="0" w:line="37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4DC">
        <w:rPr>
          <w:rFonts w:ascii="Times New Roman" w:hAnsi="Times New Roman" w:cs="Times New Roman"/>
          <w:b/>
          <w:sz w:val="28"/>
          <w:szCs w:val="28"/>
        </w:rPr>
        <w:t>у с т а н о в и в:</w:t>
      </w:r>
    </w:p>
    <w:p w:rsidR="008E14DC" w:rsidRDefault="008E14DC" w:rsidP="00580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7156" w:rsidRPr="008E14DC" w:rsidRDefault="00777156" w:rsidP="005803D7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До Конституційного Суду України звернувся Кравчук О.В. </w:t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із клопотанням перевірити на відповідність Конституції України </w:t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(конституційність) абзац дванадцятий пункту 2 частини четвертої статті 374 Кримінального процесуального кодексу України (далі – Кодекс), згідно з яким </w:t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у разі визнання особи винуватою у резолютивній частині </w:t>
      </w:r>
      <w:proofErr w:type="spellStart"/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вироку</w:t>
      </w:r>
      <w:proofErr w:type="spellEnd"/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зазначають, зокрема, „рішення щодо заходів забезпечення кримінального провадження, </w:t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у тому числі рішення про запобіжний захід до набрання </w:t>
      </w:r>
      <w:proofErr w:type="spellStart"/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вироком</w:t>
      </w:r>
      <w:proofErr w:type="spellEnd"/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законної сили“.</w:t>
      </w:r>
    </w:p>
    <w:p w:rsidR="00777156" w:rsidRPr="008E14DC" w:rsidRDefault="00777156" w:rsidP="005803D7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Кравчук О.В. вважає, що оспорювані приписи Кодексу не відповідають статтям 3, 8, частинам першій, другій статті 29, статтям 55, 62, 63, 129 Конституції України.</w:t>
      </w:r>
    </w:p>
    <w:p w:rsidR="00777156" w:rsidRPr="008E14DC" w:rsidRDefault="00777156" w:rsidP="005803D7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7156" w:rsidRPr="008E14DC" w:rsidRDefault="00777156" w:rsidP="005803D7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Зі змісту конституційної скарги та долучених до неї матеріалів убачається таке.</w:t>
      </w:r>
    </w:p>
    <w:p w:rsidR="00777156" w:rsidRPr="008E14DC" w:rsidRDefault="00777156" w:rsidP="005803D7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Октябрський</w:t>
      </w:r>
      <w:proofErr w:type="spellEnd"/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районний суд міста Полтави, розглянувши кримінальне провадження щодо обвинувачення Кравчука О.В. у вчиненні кримінальних правопорушень, визначених частинами першою, другою статті 307,</w:t>
      </w:r>
      <w:r w:rsid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частиною першою статті 365 Кримінального кодексу України, </w:t>
      </w:r>
      <w:proofErr w:type="spellStart"/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вироком</w:t>
      </w:r>
      <w:proofErr w:type="spellEnd"/>
      <w:r w:rsid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 30 січня 2024 року, зокрема, визнав його винуватим у вчиненні кримінального правопорушення, визначеного частиною першою статті 307 Кримінального кодексу України,  призначив основне покарання у виді позбавлення волі на строк чотири роки; до набрання </w:t>
      </w:r>
      <w:proofErr w:type="spellStart"/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вироком</w:t>
      </w:r>
      <w:proofErr w:type="spellEnd"/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законної сили обрав щодо обвинуваченого Кравчука О.В. запобіжний захід у вигляді тримання під вартою, взявши його під варту негайно в залі суду.</w:t>
      </w:r>
    </w:p>
    <w:p w:rsidR="00777156" w:rsidRPr="008E14DC" w:rsidRDefault="00777156" w:rsidP="005803D7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Полтавський апеляційний суд ухвалою від 14 серпня 2024 року змінив вирок </w:t>
      </w:r>
      <w:proofErr w:type="spellStart"/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Октябрського</w:t>
      </w:r>
      <w:proofErr w:type="spellEnd"/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районного суду міста Полтави від 30 січня 2024 року, зокрема, звільнив Кравчука О.В. від призначеного за частиною першою статті 307 Кримінального кодексу України покарання у зв’язку із закінченням строків давності; звільнив Кравчука О.В. з-під варти в залі суду.</w:t>
      </w:r>
    </w:p>
    <w:p w:rsidR="00777156" w:rsidRPr="008E14DC" w:rsidRDefault="00777156" w:rsidP="005803D7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Верховний Суд у складі колегії суддів Третьої судової палати Касаційного кримінального суду постановою від 9 квітня 2025 року касаційну скаргу </w:t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Кравчука О.В. залишив без задоволення, а вирок </w:t>
      </w:r>
      <w:proofErr w:type="spellStart"/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Октябрського</w:t>
      </w:r>
      <w:proofErr w:type="spellEnd"/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районного суду міста Полтави від 30 січня 2024 року та ухвалу Полтавського апеляційного суду від 14 серпня 2024 року – без змін.</w:t>
      </w:r>
    </w:p>
    <w:p w:rsidR="00777156" w:rsidRPr="008E14DC" w:rsidRDefault="00777156" w:rsidP="005803D7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7156" w:rsidRPr="008E14DC" w:rsidRDefault="00777156" w:rsidP="005803D7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Суб’єкт права на конституційну скаргу стверджує, що абзац дванадцятий пункту 2 частини четвертої статті 374 Кодексу „уможливлює відсутність визначеного (конкретного) строку подальшого тримання особи під вартою“, „виключає можливість здійснювати періодичний судовий контроль</w:t>
      </w:r>
      <w:r w:rsid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обмеженням/позбавленням свободи та особистої недоторканності особи“, „позбавляє особу здійснення захисту своїх прав і свобод людини і громадянина від свавільного обмеження“, „надає суду першої інстанції можливість виключно на власний розсуд вирішувати питання обмеження/позбавлення особи свободи ще до набрання рішенням законної сили у відповідності до закону“, „суперечить принципу правової визначеності“.</w:t>
      </w:r>
    </w:p>
    <w:p w:rsidR="00777156" w:rsidRPr="008E14DC" w:rsidRDefault="00777156" w:rsidP="005803D7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Кравчук О.В., цитуючи вирок </w:t>
      </w:r>
      <w:proofErr w:type="spellStart"/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Октябрського</w:t>
      </w:r>
      <w:proofErr w:type="spellEnd"/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районного суду міста Полтави від 30 січня 2024 року в частині щодо обрання йому запобіжного заходу у вигляді тримання під вартою, зазначає, що „таке рішення суду не може вважатися вмотивованим ані в силу ч. 4 ст. 370 КПК України (вмотивованим є рішення, </w:t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якому наведені належні і достатні мотиви та підстави його ухвалення), ані тим більш в розумінні ч. 2 ст. 29 Конституції України (ніхто не може бути заарештований або триматися під вартою інакше як за вмотивованим рішенням суду)“.</w:t>
      </w:r>
    </w:p>
    <w:p w:rsidR="00777156" w:rsidRPr="008E14DC" w:rsidRDefault="00777156" w:rsidP="005803D7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Обґрунтовуючи неконституційність абзацу дванадцятого пункту 2</w:t>
      </w:r>
      <w:r w:rsid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частини четвертої статті 374 Кодексу, суб’єкт права на конституційну скаргу наводить порівняльний аналіз приписів Кодексу, якими визначено порядок застосування запобіжних заходів, зокрема тримання під вартою, та звертає увагу, </w:t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що оспорювані приписи Кодексу суперечать „не тільки Конституції України,</w:t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а й усім наявним приписам КПК України, що стосуються запобіжних заходів </w:t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цілому та окремо тримання під вартою“. </w:t>
      </w:r>
    </w:p>
    <w:p w:rsidR="00777156" w:rsidRPr="008E14DC" w:rsidRDefault="00777156" w:rsidP="005803D7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7156" w:rsidRPr="008E14DC" w:rsidRDefault="00777156" w:rsidP="005803D7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134D1F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Перший сенат Конституційного Суду України, вирішуючи питання щодо відкриття конституційного провадження у справі у зв’язку з постановленням </w:t>
      </w:r>
      <w:proofErr w:type="spellStart"/>
      <w:r w:rsidR="00134D1F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неодностайно</w:t>
      </w:r>
      <w:proofErr w:type="spellEnd"/>
      <w:r w:rsidR="00134D1F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Третьою колегією суддів Першого сенату Конституційного Суду України Ухвали від 24 вересня 2025 року № 15</w:t>
      </w:r>
      <w:r w:rsidR="007C3C18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134D1F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-3(I)/2025 про відмову у відкритті конституційного провадження у цій справі на підставі пункту 4 статті 62 Закону України „Про Конституційний Суд України“, керується таким.</w:t>
      </w:r>
    </w:p>
    <w:p w:rsidR="00777156" w:rsidRPr="008E14DC" w:rsidRDefault="00777156" w:rsidP="005803D7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 до Закону України „Про Конституційний Суд України“ конституційна скарга має містити обґрунтування тверджень щодо неконституційності закону України (його окремих приписів) із зазначенням того, яке з гарантованих Конституцією України прав людини, на думку суб’єкта права на конституційну скаргу, зазнало порушення внаслідок застосування закону (пункт 6 частини другої статті 55); конституційна скарга є прийнятною за умов її відповідності вимогам, визначеним, зокрема, статтею 55 цього закону</w:t>
      </w:r>
      <w:r w:rsidR="005803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(абзац перший частини першої статті 77).</w:t>
      </w:r>
    </w:p>
    <w:p w:rsidR="00777156" w:rsidRPr="008E14DC" w:rsidRDefault="00777156" w:rsidP="005803D7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7156" w:rsidRPr="008E14DC" w:rsidRDefault="00777156" w:rsidP="005803D7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Згідно з оспорюваними приписами Кодексу суд, у разі визнання особи винуватою за результатом судового розгляду, має вжити заходів забезпечення кримінального провадження, зокрема, обрати такій особі запобіжний захід, який застосовуватимуть до набрання </w:t>
      </w:r>
      <w:proofErr w:type="spellStart"/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вироком</w:t>
      </w:r>
      <w:proofErr w:type="spellEnd"/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законної сили.</w:t>
      </w:r>
    </w:p>
    <w:p w:rsidR="00777156" w:rsidRPr="008E14DC" w:rsidRDefault="00777156" w:rsidP="005803D7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DC">
        <w:rPr>
          <w:rFonts w:ascii="Times New Roman" w:hAnsi="Times New Roman" w:cs="Times New Roman"/>
          <w:color w:val="000000" w:themeColor="text1"/>
          <w:sz w:val="28"/>
          <w:szCs w:val="28"/>
        </w:rPr>
        <w:t>З аналізу змісту конституційної скарги та долучених до неї матеріалів убачається,</w:t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що Кравчук О.В., наводячи аргументи щодо неконституційності абзацу дванадцятого пункту 2 частини четвертої статті 374 Кодексу, фактично звів їх до незгоди із запобіжним заходом у вигляді тримання під вартою, обраним судом першої інстанції під час винесення йому </w:t>
      </w:r>
      <w:proofErr w:type="spellStart"/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вироку</w:t>
      </w:r>
      <w:proofErr w:type="spellEnd"/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та чинним правовим </w:t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регулюванням питання дії заходів забезпечення кримінального провадження</w:t>
      </w:r>
      <w:r w:rsidR="005803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разі визнання особи винуватою за результатом судового розгляду.</w:t>
      </w:r>
    </w:p>
    <w:p w:rsidR="004A39C3" w:rsidRPr="008E14DC" w:rsidRDefault="004A39C3" w:rsidP="005803D7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Конституційний Суд України неодноразово висловлював юридичні позиції щодо розуміння права на свободу, гарантованого статтею 29 Конституції України, зокрема у Рішенні від 19 червня 2024 року № 7-р(II)/2024 Конституційний Суд України виснував, що приписи статті 29 Конституції України допускають застосування запобіжного заходу у вигляді тримання під вартою як обмеження конституційного права на свободу та особисту недоторканність (пункт 4 мотивувальної частини). </w:t>
      </w:r>
    </w:p>
    <w:p w:rsidR="004A39C3" w:rsidRPr="008E14DC" w:rsidRDefault="001251D7" w:rsidP="005803D7">
      <w:pPr>
        <w:spacing w:after="0" w:line="39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E14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Перший сенат Конституційного Суду України виходить із того, що</w:t>
      </w:r>
      <w:r w:rsidR="00580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8E14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частина друга статті 29 Конституції України кореспондує підпункту „а“</w:t>
      </w:r>
      <w:r w:rsidR="00580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8E14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пункту 1 статті 5 </w:t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Конвенції про захист прав людини і основоположних свобод 1950 року (далі – Конвенція)</w:t>
      </w:r>
      <w:r w:rsidR="00F32D4D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CB5BAD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який</w:t>
      </w:r>
      <w:r w:rsidR="00F32D4D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1925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допускає позбавлення свободи </w:t>
      </w:r>
      <w:r w:rsidR="00CB5BAD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випадку законного ув’язнення особи після засудження її компетентним судом відповідно до процедури, встановленої законом</w:t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251D7" w:rsidRPr="008E14DC" w:rsidRDefault="005F1FF1" w:rsidP="005803D7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Європейський суд </w:t>
      </w:r>
      <w:r w:rsidR="001251D7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 прав людини </w:t>
      </w:r>
      <w:r w:rsidR="00342A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1251D7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своїй практиці щодо тлумачення </w:t>
      </w:r>
      <w:r w:rsidR="001251D7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статті 5 Конвенції зазначив, що „п</w:t>
      </w:r>
      <w:r w:rsidR="00F32D4D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ідпункт (a) пункту 1 статті 5 &lt;…&gt; </w:t>
      </w:r>
      <w:r w:rsidR="001251D7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треба розуміти як такий, що залишає державам-учасницям певний простір обдумування в цьому питанні</w:t>
      </w:r>
      <w:r w:rsidR="00363D57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“</w:t>
      </w:r>
      <w:r w:rsidR="001251D7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45CA1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</w:t>
      </w:r>
      <w:r w:rsidR="00F32D4D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рішення у справі </w:t>
      </w:r>
      <w:proofErr w:type="spellStart"/>
      <w:r w:rsidR="001251D7" w:rsidRPr="008E14D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Monnell</w:t>
      </w:r>
      <w:proofErr w:type="spellEnd"/>
      <w:r w:rsidR="001251D7" w:rsidRPr="008E14D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251D7" w:rsidRPr="008E14D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аnd</w:t>
      </w:r>
      <w:proofErr w:type="spellEnd"/>
      <w:r w:rsidR="001251D7" w:rsidRPr="008E14D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251D7" w:rsidRPr="008E14D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Morris</w:t>
      </w:r>
      <w:proofErr w:type="spellEnd"/>
      <w:r w:rsidR="001251D7" w:rsidRPr="008E14D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v. </w:t>
      </w:r>
      <w:proofErr w:type="spellStart"/>
      <w:r w:rsidR="001251D7" w:rsidRPr="008E14D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the</w:t>
      </w:r>
      <w:proofErr w:type="spellEnd"/>
      <w:r w:rsidR="001251D7" w:rsidRPr="008E14D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251D7" w:rsidRPr="008E14D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United</w:t>
      </w:r>
      <w:proofErr w:type="spellEnd"/>
      <w:r w:rsidR="001251D7" w:rsidRPr="008E14D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251D7" w:rsidRPr="008E14D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Kingdom</w:t>
      </w:r>
      <w:proofErr w:type="spellEnd"/>
      <w:r w:rsidR="00F32D4D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 2 березня 1987</w:t>
      </w:r>
      <w:r w:rsidR="006D3A89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року</w:t>
      </w:r>
      <w:r w:rsidR="001251D7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(заяви №№ 9562/81, 9818/82</w:t>
      </w:r>
      <w:r w:rsidR="00A45CA1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1251D7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§ 47</w:t>
      </w:r>
      <w:r w:rsidR="00A45CA1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</w:t>
      </w:r>
      <w:r w:rsidR="00F32D4D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6A1925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словосполуку</w:t>
      </w:r>
      <w:r w:rsidR="001251D7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32D4D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„</w:t>
      </w:r>
      <w:r w:rsidR="001251D7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після засудження</w:t>
      </w:r>
      <w:r w:rsidR="00F32D4D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“</w:t>
      </w:r>
      <w:r w:rsidR="001251D7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1925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„</w:t>
      </w:r>
      <w:r w:rsidR="001251D7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6A1925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можна тлумачити так, ніби вона</w:t>
      </w:r>
      <w:r w:rsidR="00342A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251D7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стосується</w:t>
      </w:r>
      <w:r w:rsidR="00F32D4D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251D7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лише остаточного засудження</w:t>
      </w:r>
      <w:r w:rsidR="006A1925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&lt;…&gt;</w:t>
      </w:r>
      <w:r w:rsidR="001251D7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1925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1251D7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можна ігнорувати того, що винуватість</w:t>
      </w:r>
      <w:r w:rsidR="006A1925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251D7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особи, яка тримається під вартою під час апеляційного</w:t>
      </w:r>
      <w:r w:rsidR="00363D57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провадження</w:t>
      </w:r>
      <w:r w:rsidR="001251D7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або </w:t>
      </w:r>
      <w:r w:rsidR="00363D57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перегляду судового рішення</w:t>
      </w:r>
      <w:r w:rsidR="001251D7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вже встановлена </w:t>
      </w:r>
      <w:r w:rsidR="00342A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 час</w:t>
      </w:r>
      <w:r w:rsidR="001251D7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судового</w:t>
      </w:r>
      <w:r w:rsidR="00342A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251D7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розгляду, проведеного</w:t>
      </w:r>
      <w:r w:rsidR="006A1925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251D7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 до вимог статті 6</w:t>
      </w:r>
      <w:r w:rsidR="006A1925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 цьому контексті</w:t>
      </w:r>
      <w:r w:rsidR="00342A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A1925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має значення, чи </w:t>
      </w:r>
      <w:r w:rsidR="00512274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тримання </w:t>
      </w:r>
      <w:r w:rsidR="006A1925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під вартою після засудження </w:t>
      </w:r>
      <w:r w:rsidR="00414B7E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було здійснене </w:t>
      </w:r>
      <w:r w:rsidR="006A1925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безпосередньо на підставі </w:t>
      </w:r>
      <w:proofErr w:type="spellStart"/>
      <w:r w:rsidR="006A1925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вироку</w:t>
      </w:r>
      <w:proofErr w:type="spellEnd"/>
      <w:r w:rsidR="006A1925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чи &lt;…&gt; внаслідок окремого рішення, яким</w:t>
      </w:r>
      <w:r w:rsidR="00342A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A1925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підтверджується </w:t>
      </w:r>
      <w:r w:rsidR="006F0E13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тримання під вартою</w:t>
      </w:r>
      <w:r w:rsidR="006A1925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“ </w:t>
      </w:r>
      <w:r w:rsidR="00A45CA1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</w:t>
      </w:r>
      <w:r w:rsidR="006A1925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рішення у справі </w:t>
      </w:r>
      <w:r w:rsidR="006A1925" w:rsidRPr="008E14D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>W</w:t>
      </w:r>
      <w:proofErr w:type="spellStart"/>
      <w:r w:rsidR="006A1925" w:rsidRPr="008E14D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emhoff</w:t>
      </w:r>
      <w:proofErr w:type="spellEnd"/>
      <w:r w:rsidR="006A1925" w:rsidRPr="008E14D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v. </w:t>
      </w:r>
      <w:proofErr w:type="spellStart"/>
      <w:r w:rsidR="006A1925" w:rsidRPr="008E14D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Germany</w:t>
      </w:r>
      <w:proofErr w:type="spellEnd"/>
      <w:r w:rsidR="005803D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  <w:r w:rsidR="006A1925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 </w:t>
      </w:r>
      <w:r w:rsidR="001251D7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27 </w:t>
      </w:r>
      <w:r w:rsidR="006A1925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червня</w:t>
      </w:r>
      <w:r w:rsidR="001251D7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1968</w:t>
      </w:r>
      <w:r w:rsidR="006D3A89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року</w:t>
      </w:r>
      <w:r w:rsidR="006A1925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(заява № 2122/64</w:t>
      </w:r>
      <w:r w:rsidR="00A45CA1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6A1925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§ 9 (А)</w:t>
      </w:r>
      <w:r w:rsidR="00A45CA1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</w:t>
      </w:r>
      <w:r w:rsidR="006A1925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77156" w:rsidRPr="008E14DC" w:rsidRDefault="004B2360" w:rsidP="005803D7">
      <w:pPr>
        <w:spacing w:after="0" w:line="39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підставі викладеного </w:t>
      </w:r>
      <w:r w:rsidRPr="008E14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Перший сенат Конституційного Суду України вважає</w:t>
      </w:r>
      <w:r w:rsidR="00777156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що</w:t>
      </w:r>
      <w:r w:rsidR="00777156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суб’єкт права на конституційну скаргу не обґрунтував неконституційності абзацу дванадцятого пункту 2 частини четвертої статті 374 Кодексу, </w:t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="00A45CA1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відтак</w:t>
      </w:r>
      <w:r w:rsidR="00777156"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дотримав вимог пункту 6 частини другої статті 55 Закону України „Про Конституційний Суд України“. </w:t>
      </w:r>
    </w:p>
    <w:p w:rsidR="00777156" w:rsidRPr="008E14DC" w:rsidRDefault="00777156" w:rsidP="005803D7">
      <w:pPr>
        <w:spacing w:after="0" w:line="39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4DC">
        <w:rPr>
          <w:rFonts w:ascii="Times New Roman" w:hAnsi="Times New Roman" w:cs="Times New Roman"/>
          <w:sz w:val="28"/>
          <w:szCs w:val="28"/>
        </w:rPr>
        <w:t>Конституці</w:t>
      </w:r>
      <w:r w:rsidR="005803D7">
        <w:rPr>
          <w:rFonts w:ascii="Times New Roman" w:hAnsi="Times New Roman" w:cs="Times New Roman"/>
          <w:sz w:val="28"/>
          <w:szCs w:val="28"/>
        </w:rPr>
        <w:t xml:space="preserve">йний </w:t>
      </w:r>
      <w:r w:rsidRPr="008E14DC">
        <w:rPr>
          <w:rFonts w:ascii="Times New Roman" w:hAnsi="Times New Roman" w:cs="Times New Roman"/>
          <w:sz w:val="28"/>
          <w:szCs w:val="28"/>
        </w:rPr>
        <w:t>Суд України наголошував, що особа, яка звертається</w:t>
      </w:r>
      <w:r w:rsidR="005803D7">
        <w:rPr>
          <w:rFonts w:ascii="Times New Roman" w:hAnsi="Times New Roman" w:cs="Times New Roman"/>
          <w:sz w:val="28"/>
          <w:szCs w:val="28"/>
        </w:rPr>
        <w:t xml:space="preserve"> </w:t>
      </w:r>
      <w:r w:rsidRPr="008E14DC">
        <w:rPr>
          <w:rFonts w:ascii="Times New Roman" w:hAnsi="Times New Roman" w:cs="Times New Roman"/>
          <w:sz w:val="28"/>
          <w:szCs w:val="28"/>
        </w:rPr>
        <w:t xml:space="preserve">до Конституційного Суду України, повинна не лише зазначити, а й аргументовано довести, як саме оспорюваний закон (його окремі приписи), застосований </w:t>
      </w:r>
      <w:r w:rsidRPr="008E14DC">
        <w:rPr>
          <w:rFonts w:ascii="Times New Roman" w:hAnsi="Times New Roman" w:cs="Times New Roman"/>
          <w:sz w:val="28"/>
          <w:szCs w:val="28"/>
        </w:rPr>
        <w:br/>
        <w:t xml:space="preserve">в остаточному судовому рішенні в її справі, порушує її гарантоване Конституцією України право [ухвали Другого сенату Конституційного Суду України від 3 червня 2020 року № 10-уп(ІІ)/2020, від 10 травня 2023 року </w:t>
      </w:r>
      <w:r w:rsidRPr="008E14DC">
        <w:rPr>
          <w:rFonts w:ascii="Times New Roman" w:hAnsi="Times New Roman" w:cs="Times New Roman"/>
          <w:sz w:val="28"/>
          <w:szCs w:val="28"/>
        </w:rPr>
        <w:br/>
        <w:t>№ 35-у(II)/2023].</w:t>
      </w:r>
    </w:p>
    <w:p w:rsidR="00777156" w:rsidRPr="008E14DC" w:rsidRDefault="00777156" w:rsidP="005803D7">
      <w:pPr>
        <w:spacing w:after="0" w:line="39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E14DC">
        <w:rPr>
          <w:rFonts w:ascii="Times New Roman" w:hAnsi="Times New Roman" w:cs="Times New Roman"/>
          <w:color w:val="000000" w:themeColor="text1"/>
          <w:sz w:val="28"/>
          <w:szCs w:val="28"/>
        </w:rPr>
        <w:t>Наведене</w:t>
      </w:r>
      <w:r w:rsidRPr="008E14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є підставою для відмови у відкритті конституційного провадження у справі згідно з пунктом 4 статті 62 цього закону – неприйнятність конституційної скарги.</w:t>
      </w:r>
    </w:p>
    <w:p w:rsidR="00777156" w:rsidRPr="008E14DC" w:rsidRDefault="00777156" w:rsidP="005803D7">
      <w:pPr>
        <w:spacing w:after="0" w:line="39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34D1F" w:rsidRDefault="00134D1F" w:rsidP="005803D7">
      <w:pPr>
        <w:spacing w:after="0" w:line="39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E14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Ураховуючи викладене та керуючись статтями 8, 55, 147, </w:t>
      </w:r>
      <w:r w:rsidRPr="008E14DC">
        <w:rPr>
          <w:rFonts w:ascii="Times New Roman" w:hAnsi="Times New Roman" w:cs="Times New Roman"/>
          <w:color w:val="000000" w:themeColor="text1"/>
          <w:sz w:val="28"/>
          <w:szCs w:val="28"/>
        </w:rPr>
        <w:t>151</w:t>
      </w:r>
      <w:r w:rsidRPr="008E14D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8E14D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E14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153 Конституції України, на підставі статей 7, 32, 36, 55, 56, 62, 67, 77, 83, 86 Закону України „Про Конституційний Суд України“, відповідно до § 45, § 54 Регламенту Конституційного Суду України Перший сенат Конституційного Суду України</w:t>
      </w:r>
    </w:p>
    <w:p w:rsidR="005803D7" w:rsidRDefault="005803D7" w:rsidP="005803D7">
      <w:pPr>
        <w:spacing w:after="0" w:line="39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34D1F" w:rsidRPr="008E14DC" w:rsidRDefault="00134D1F" w:rsidP="005803D7">
      <w:pPr>
        <w:spacing w:after="0" w:line="39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14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в:</w:t>
      </w:r>
    </w:p>
    <w:p w:rsidR="00777156" w:rsidRPr="008E14DC" w:rsidRDefault="00777156" w:rsidP="005803D7">
      <w:pPr>
        <w:spacing w:after="0" w:line="396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77156" w:rsidRPr="008E14DC" w:rsidRDefault="00777156" w:rsidP="005803D7">
      <w:pPr>
        <w:spacing w:after="0" w:line="39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E14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 Відмовити у відкритті конституційного провадження у справі</w:t>
      </w:r>
      <w:r w:rsidRPr="008E14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конституційною скаргою Кравчука Олександра Васильовича щодо </w:t>
      </w:r>
      <w:r w:rsidRPr="008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відповідності Конституції України (конституційності) абзацу дванадцятого пункту 2 частини четвертої статті 374 Кримінального процесуального кодексу України </w:t>
      </w:r>
      <w:r w:rsidRPr="008E14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 підставі пункту 4 статті 62 Закону України „Про Конституційний Суд України“ – неприйнятність конституційної скарги.</w:t>
      </w:r>
    </w:p>
    <w:p w:rsidR="00777156" w:rsidRPr="008E14DC" w:rsidRDefault="00777156" w:rsidP="005803D7">
      <w:pPr>
        <w:spacing w:after="0" w:line="39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77156" w:rsidRDefault="00134D1F" w:rsidP="005803D7">
      <w:pPr>
        <w:spacing w:after="0" w:line="39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E14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 Ухвала Першого сенату Конституційного Суду України є остаточною.</w:t>
      </w:r>
    </w:p>
    <w:p w:rsidR="008E14DC" w:rsidRDefault="008E14DC" w:rsidP="008E14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803D7" w:rsidRDefault="005803D7" w:rsidP="008E14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E14DC" w:rsidRDefault="008E14DC" w:rsidP="008E14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79BF" w:rsidRPr="000F6552" w:rsidRDefault="005479BF" w:rsidP="005479BF">
      <w:pPr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color w:val="0D0D0D" w:themeColor="text1" w:themeTint="F2"/>
          <w:sz w:val="28"/>
          <w:szCs w:val="28"/>
          <w:lang w:eastAsia="uk-UA"/>
        </w:rPr>
      </w:pPr>
      <w:bookmarkStart w:id="1" w:name="_GoBack"/>
      <w:r w:rsidRPr="000F6552">
        <w:rPr>
          <w:rFonts w:ascii="Times New Roman" w:eastAsia="Times New Roman" w:hAnsi="Times New Roman" w:cs="Times New Roman"/>
          <w:b/>
          <w:caps/>
          <w:color w:val="0D0D0D" w:themeColor="text1" w:themeTint="F2"/>
          <w:sz w:val="28"/>
          <w:szCs w:val="28"/>
          <w:lang w:eastAsia="uk-UA"/>
        </w:rPr>
        <w:t>Перший сенат</w:t>
      </w:r>
    </w:p>
    <w:p w:rsidR="005803D7" w:rsidRDefault="005479BF" w:rsidP="005479BF">
      <w:pPr>
        <w:spacing w:after="0" w:line="240" w:lineRule="auto"/>
        <w:ind w:left="4254"/>
        <w:jc w:val="center"/>
        <w:rPr>
          <w:rFonts w:ascii="Times New Roman" w:hAnsi="Times New Roman" w:cs="Times New Roman"/>
          <w:sz w:val="28"/>
          <w:szCs w:val="28"/>
        </w:rPr>
      </w:pPr>
      <w:r w:rsidRPr="000F6552">
        <w:rPr>
          <w:rFonts w:ascii="Times New Roman" w:eastAsia="Times New Roman" w:hAnsi="Times New Roman" w:cs="Times New Roman"/>
          <w:b/>
          <w:caps/>
          <w:color w:val="0D0D0D" w:themeColor="text1" w:themeTint="F2"/>
          <w:sz w:val="28"/>
          <w:szCs w:val="28"/>
          <w:lang w:eastAsia="uk-UA"/>
        </w:rPr>
        <w:t>Конституційного Суду України</w:t>
      </w:r>
      <w:bookmarkEnd w:id="1"/>
    </w:p>
    <w:sectPr w:rsidR="005803D7" w:rsidSect="008E14DC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36E" w:rsidRDefault="008E136E">
      <w:pPr>
        <w:spacing w:after="0" w:line="240" w:lineRule="auto"/>
      </w:pPr>
      <w:r>
        <w:separator/>
      </w:r>
    </w:p>
  </w:endnote>
  <w:endnote w:type="continuationSeparator" w:id="0">
    <w:p w:rsidR="008E136E" w:rsidRDefault="008E1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3D7" w:rsidRPr="005803D7" w:rsidRDefault="005803D7">
    <w:pPr>
      <w:pStyle w:val="a5"/>
      <w:rPr>
        <w:rFonts w:ascii="Times New Roman" w:hAnsi="Times New Roman" w:cs="Times New Roman"/>
        <w:sz w:val="10"/>
        <w:szCs w:val="10"/>
      </w:rPr>
    </w:pPr>
    <w:r w:rsidRPr="005803D7">
      <w:rPr>
        <w:rFonts w:ascii="Times New Roman" w:hAnsi="Times New Roman" w:cs="Times New Roman"/>
        <w:sz w:val="10"/>
        <w:szCs w:val="10"/>
      </w:rPr>
      <w:fldChar w:fldCharType="begin"/>
    </w:r>
    <w:r w:rsidRPr="005803D7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5803D7">
      <w:rPr>
        <w:rFonts w:ascii="Times New Roman" w:hAnsi="Times New Roman" w:cs="Times New Roman"/>
        <w:sz w:val="10"/>
        <w:szCs w:val="10"/>
      </w:rPr>
      <w:fldChar w:fldCharType="separate"/>
    </w:r>
    <w:r w:rsidR="005479BF">
      <w:rPr>
        <w:rFonts w:ascii="Times New Roman" w:hAnsi="Times New Roman" w:cs="Times New Roman"/>
        <w:noProof/>
        <w:sz w:val="10"/>
        <w:szCs w:val="10"/>
      </w:rPr>
      <w:t>S:\Mashburo\2025\Suddi\Uhvala senata\I senat\64.docx</w:t>
    </w:r>
    <w:r w:rsidRPr="005803D7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3D7" w:rsidRPr="005803D7" w:rsidRDefault="005803D7">
    <w:pPr>
      <w:pStyle w:val="a5"/>
      <w:rPr>
        <w:rFonts w:ascii="Times New Roman" w:hAnsi="Times New Roman" w:cs="Times New Roman"/>
        <w:sz w:val="10"/>
        <w:szCs w:val="10"/>
      </w:rPr>
    </w:pPr>
    <w:r w:rsidRPr="005803D7">
      <w:rPr>
        <w:rFonts w:ascii="Times New Roman" w:hAnsi="Times New Roman" w:cs="Times New Roman"/>
        <w:sz w:val="10"/>
        <w:szCs w:val="10"/>
      </w:rPr>
      <w:fldChar w:fldCharType="begin"/>
    </w:r>
    <w:r w:rsidRPr="005803D7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5803D7">
      <w:rPr>
        <w:rFonts w:ascii="Times New Roman" w:hAnsi="Times New Roman" w:cs="Times New Roman"/>
        <w:sz w:val="10"/>
        <w:szCs w:val="10"/>
      </w:rPr>
      <w:fldChar w:fldCharType="separate"/>
    </w:r>
    <w:r w:rsidR="005479BF">
      <w:rPr>
        <w:rFonts w:ascii="Times New Roman" w:hAnsi="Times New Roman" w:cs="Times New Roman"/>
        <w:noProof/>
        <w:sz w:val="10"/>
        <w:szCs w:val="10"/>
      </w:rPr>
      <w:t>S:\Mashburo\2025\Suddi\Uhvala senata\I senat\64.docx</w:t>
    </w:r>
    <w:r w:rsidRPr="005803D7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36E" w:rsidRDefault="008E136E">
      <w:pPr>
        <w:spacing w:after="0" w:line="240" w:lineRule="auto"/>
      </w:pPr>
      <w:r>
        <w:separator/>
      </w:r>
    </w:p>
  </w:footnote>
  <w:footnote w:type="continuationSeparator" w:id="0">
    <w:p w:rsidR="008E136E" w:rsidRDefault="008E1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2756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D031D" w:rsidRPr="00EA53E8" w:rsidRDefault="00C0325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A53E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A53E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A53E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79BF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EA53E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1F"/>
    <w:rsid w:val="0006068C"/>
    <w:rsid w:val="0007169F"/>
    <w:rsid w:val="00080976"/>
    <w:rsid w:val="000A5A9A"/>
    <w:rsid w:val="000F0F0A"/>
    <w:rsid w:val="00106F09"/>
    <w:rsid w:val="001251D7"/>
    <w:rsid w:val="00134D1F"/>
    <w:rsid w:val="00147441"/>
    <w:rsid w:val="00155403"/>
    <w:rsid w:val="00172ED0"/>
    <w:rsid w:val="0024155B"/>
    <w:rsid w:val="00266DBC"/>
    <w:rsid w:val="00280617"/>
    <w:rsid w:val="002C4647"/>
    <w:rsid w:val="002D425F"/>
    <w:rsid w:val="0034238B"/>
    <w:rsid w:val="00342A42"/>
    <w:rsid w:val="00363D57"/>
    <w:rsid w:val="00375D02"/>
    <w:rsid w:val="00394E5A"/>
    <w:rsid w:val="003C7437"/>
    <w:rsid w:val="003F7618"/>
    <w:rsid w:val="00414B7E"/>
    <w:rsid w:val="00466F73"/>
    <w:rsid w:val="004816AE"/>
    <w:rsid w:val="004A39C3"/>
    <w:rsid w:val="004B2360"/>
    <w:rsid w:val="00512274"/>
    <w:rsid w:val="00527656"/>
    <w:rsid w:val="005479BF"/>
    <w:rsid w:val="00574530"/>
    <w:rsid w:val="005803D7"/>
    <w:rsid w:val="005C0CA8"/>
    <w:rsid w:val="005E2434"/>
    <w:rsid w:val="005F1FF1"/>
    <w:rsid w:val="006176F4"/>
    <w:rsid w:val="006361EA"/>
    <w:rsid w:val="00657BD6"/>
    <w:rsid w:val="0066358C"/>
    <w:rsid w:val="00671DD9"/>
    <w:rsid w:val="006864D4"/>
    <w:rsid w:val="00687428"/>
    <w:rsid w:val="006A1925"/>
    <w:rsid w:val="006D3A89"/>
    <w:rsid w:val="006F0E13"/>
    <w:rsid w:val="006F4382"/>
    <w:rsid w:val="007115A7"/>
    <w:rsid w:val="00754E8E"/>
    <w:rsid w:val="00777156"/>
    <w:rsid w:val="007C3C18"/>
    <w:rsid w:val="007C725D"/>
    <w:rsid w:val="007E492B"/>
    <w:rsid w:val="008142F3"/>
    <w:rsid w:val="008618E5"/>
    <w:rsid w:val="0086233C"/>
    <w:rsid w:val="00881CF7"/>
    <w:rsid w:val="00885C03"/>
    <w:rsid w:val="00893304"/>
    <w:rsid w:val="008944FB"/>
    <w:rsid w:val="008B5DEC"/>
    <w:rsid w:val="008E136E"/>
    <w:rsid w:val="008E14DC"/>
    <w:rsid w:val="008F0258"/>
    <w:rsid w:val="00A155A9"/>
    <w:rsid w:val="00A45CA1"/>
    <w:rsid w:val="00A93DA7"/>
    <w:rsid w:val="00AA3B30"/>
    <w:rsid w:val="00B266F3"/>
    <w:rsid w:val="00B32A60"/>
    <w:rsid w:val="00B52F01"/>
    <w:rsid w:val="00BA41D9"/>
    <w:rsid w:val="00C03250"/>
    <w:rsid w:val="00C71DC8"/>
    <w:rsid w:val="00CB2708"/>
    <w:rsid w:val="00CB5BAD"/>
    <w:rsid w:val="00CC01B1"/>
    <w:rsid w:val="00D1340E"/>
    <w:rsid w:val="00D435CE"/>
    <w:rsid w:val="00D5578A"/>
    <w:rsid w:val="00D7049A"/>
    <w:rsid w:val="00D70D21"/>
    <w:rsid w:val="00DB495A"/>
    <w:rsid w:val="00DC407A"/>
    <w:rsid w:val="00E219E3"/>
    <w:rsid w:val="00E33F38"/>
    <w:rsid w:val="00ED34DD"/>
    <w:rsid w:val="00F24446"/>
    <w:rsid w:val="00F32D4D"/>
    <w:rsid w:val="00FE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A669"/>
  <w15:chartTrackingRefBased/>
  <w15:docId w15:val="{0F5FB6E1-C4CD-451A-B8CB-858D7DF5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56"/>
    <w:pPr>
      <w:spacing w:line="256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1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77156"/>
    <w:rPr>
      <w:rFonts w:asciiTheme="minorHAnsi" w:hAnsiTheme="minorHAnsi" w:cstheme="minorBidi"/>
      <w:sz w:val="22"/>
    </w:rPr>
  </w:style>
  <w:style w:type="paragraph" w:customStyle="1" w:styleId="s9793a85b">
    <w:name w:val="s9793a85b"/>
    <w:basedOn w:val="a"/>
    <w:rsid w:val="00F32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bb9ee52a">
    <w:name w:val="sbb9ee52a"/>
    <w:basedOn w:val="a0"/>
    <w:rsid w:val="00F32D4D"/>
  </w:style>
  <w:style w:type="paragraph" w:styleId="a5">
    <w:name w:val="footer"/>
    <w:basedOn w:val="a"/>
    <w:link w:val="a6"/>
    <w:uiPriority w:val="99"/>
    <w:unhideWhenUsed/>
    <w:rsid w:val="005803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803D7"/>
    <w:rPr>
      <w:rFonts w:asciiTheme="minorHAnsi" w:hAnsiTheme="minorHAnsi" w:cstheme="minorBidi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80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3D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5803D7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9BCC5-FED0-40EA-8CB1-177CC61B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6526</Words>
  <Characters>3721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cp:lastModifiedBy>Валентина М. Поліщук</cp:lastModifiedBy>
  <cp:revision>6</cp:revision>
  <cp:lastPrinted>2025-11-11T10:22:00Z</cp:lastPrinted>
  <dcterms:created xsi:type="dcterms:W3CDTF">2025-11-07T09:32:00Z</dcterms:created>
  <dcterms:modified xsi:type="dcterms:W3CDTF">2025-11-11T10:22:00Z</dcterms:modified>
</cp:coreProperties>
</file>