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EA" w:rsidRDefault="00CA35EA" w:rsidP="00CA35E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03C9" w:rsidRDefault="00A703C9" w:rsidP="00CA35E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03C9" w:rsidRDefault="00A703C9" w:rsidP="00CA35E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03C9" w:rsidRDefault="00A703C9" w:rsidP="00CA35E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03C9" w:rsidRDefault="00A703C9" w:rsidP="00CA35E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03C9" w:rsidRDefault="00A703C9" w:rsidP="00CA35E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03C9" w:rsidRDefault="00A703C9" w:rsidP="00CA35E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03C9" w:rsidRDefault="00A703C9" w:rsidP="00CA35E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03C9" w:rsidRDefault="00A703C9" w:rsidP="00CA35E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A703C9" w:rsidRPr="00C46B64" w:rsidRDefault="00A703C9" w:rsidP="00CA35EA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641F0" w:rsidRDefault="00CA35EA" w:rsidP="00A703C9">
      <w:pPr>
        <w:ind w:left="709" w:right="1133"/>
        <w:jc w:val="both"/>
        <w:rPr>
          <w:rFonts w:cs="Times New Roman"/>
          <w:b/>
          <w:sz w:val="28"/>
          <w:szCs w:val="28"/>
          <w:lang w:val="uk-UA" w:bidi="ar-SA"/>
        </w:rPr>
      </w:pPr>
      <w:r w:rsidRPr="00C46B64">
        <w:rPr>
          <w:rFonts w:cs="Times New Roman"/>
          <w:b/>
          <w:color w:val="000000"/>
          <w:sz w:val="28"/>
          <w:szCs w:val="28"/>
          <w:lang w:val="uk-UA" w:bidi="ar-SA"/>
        </w:rPr>
        <w:t>про відмову у відкри</w:t>
      </w:r>
      <w:r w:rsidR="00A703C9">
        <w:rPr>
          <w:rFonts w:cs="Times New Roman"/>
          <w:b/>
          <w:color w:val="000000"/>
          <w:sz w:val="28"/>
          <w:szCs w:val="28"/>
          <w:lang w:val="uk-UA" w:bidi="ar-SA"/>
        </w:rPr>
        <w:t>тті конституційного провадження</w:t>
      </w:r>
      <w:r w:rsidR="00A703C9">
        <w:rPr>
          <w:rFonts w:cs="Times New Roman"/>
          <w:b/>
          <w:color w:val="000000"/>
          <w:sz w:val="28"/>
          <w:szCs w:val="28"/>
          <w:lang w:val="uk-UA" w:bidi="ar-SA"/>
        </w:rPr>
        <w:br/>
      </w:r>
      <w:r w:rsidRPr="00C46B64">
        <w:rPr>
          <w:rFonts w:cs="Times New Roman"/>
          <w:b/>
          <w:color w:val="000000"/>
          <w:sz w:val="28"/>
          <w:szCs w:val="28"/>
          <w:lang w:val="uk-UA" w:bidi="ar-SA"/>
        </w:rPr>
        <w:t xml:space="preserve">у справі за </w:t>
      </w:r>
      <w:r w:rsidRPr="00C46B64">
        <w:rPr>
          <w:rFonts w:cs="Times New Roman"/>
          <w:b/>
          <w:sz w:val="28"/>
          <w:szCs w:val="28"/>
          <w:lang w:val="uk-UA" w:bidi="ar-SA"/>
        </w:rPr>
        <w:t xml:space="preserve">конституційною скаргою </w:t>
      </w:r>
      <w:r w:rsidR="00A703C9">
        <w:rPr>
          <w:rFonts w:cs="Times New Roman"/>
          <w:b/>
          <w:sz w:val="28"/>
          <w:szCs w:val="28"/>
          <w:lang w:val="uk-UA" w:bidi="ar-SA"/>
        </w:rPr>
        <w:t>ВІЕР Глобал</w:t>
      </w:r>
      <w:r w:rsidR="00A703C9">
        <w:rPr>
          <w:rFonts w:cs="Times New Roman"/>
          <w:b/>
          <w:sz w:val="28"/>
          <w:szCs w:val="28"/>
          <w:lang w:val="uk-UA" w:bidi="ar-SA"/>
        </w:rPr>
        <w:br/>
      </w:r>
      <w:r w:rsidR="00E641F0" w:rsidRPr="00E641F0">
        <w:rPr>
          <w:rFonts w:cs="Times New Roman"/>
          <w:b/>
          <w:sz w:val="28"/>
          <w:szCs w:val="28"/>
          <w:lang w:val="uk-UA" w:bidi="ar-SA"/>
        </w:rPr>
        <w:t>Партнерс, Л.П.</w:t>
      </w:r>
      <w:r w:rsidR="00A703C9">
        <w:rPr>
          <w:rFonts w:cs="Times New Roman"/>
          <w:b/>
          <w:sz w:val="28"/>
          <w:szCs w:val="28"/>
          <w:lang w:val="uk-UA" w:bidi="ar-SA"/>
        </w:rPr>
        <w:t xml:space="preserve"> </w:t>
      </w:r>
      <w:r w:rsidR="00E641F0" w:rsidRPr="00E641F0">
        <w:rPr>
          <w:rFonts w:cs="Times New Roman"/>
          <w:b/>
          <w:sz w:val="28"/>
          <w:szCs w:val="28"/>
          <w:lang w:val="uk-UA" w:bidi="ar-SA"/>
        </w:rPr>
        <w:t>(VR Global Partners, L.P.) щодо відповідності Конституції України (конституційності) абзацу</w:t>
      </w:r>
      <w:r w:rsidR="00BD62FB">
        <w:rPr>
          <w:rFonts w:cs="Times New Roman"/>
          <w:b/>
          <w:sz w:val="28"/>
          <w:szCs w:val="28"/>
          <w:lang w:val="uk-UA" w:bidi="ar-SA"/>
        </w:rPr>
        <w:t xml:space="preserve"> </w:t>
      </w:r>
      <w:r w:rsidR="00E641F0" w:rsidRPr="00E641F0">
        <w:rPr>
          <w:rFonts w:cs="Times New Roman"/>
          <w:b/>
          <w:sz w:val="28"/>
          <w:szCs w:val="28"/>
          <w:lang w:val="uk-UA" w:bidi="ar-SA"/>
        </w:rPr>
        <w:t>першого частини першої статті 1077 Цивільного кодексу України</w:t>
      </w:r>
      <w:r w:rsidR="00A703C9">
        <w:rPr>
          <w:rFonts w:cs="Times New Roman"/>
          <w:b/>
          <w:sz w:val="28"/>
          <w:szCs w:val="28"/>
          <w:lang w:val="uk-UA" w:bidi="ar-SA"/>
        </w:rPr>
        <w:br/>
      </w:r>
    </w:p>
    <w:p w:rsidR="00CA35EA" w:rsidRPr="00C46B64" w:rsidRDefault="00CA35EA" w:rsidP="00A703C9">
      <w:pPr>
        <w:tabs>
          <w:tab w:val="right" w:pos="8505"/>
        </w:tabs>
        <w:rPr>
          <w:sz w:val="28"/>
          <w:szCs w:val="28"/>
          <w:lang w:val="uk-UA"/>
        </w:rPr>
      </w:pPr>
      <w:r w:rsidRPr="00C46B64">
        <w:rPr>
          <w:sz w:val="28"/>
          <w:szCs w:val="28"/>
          <w:lang w:val="uk-UA"/>
        </w:rPr>
        <w:t xml:space="preserve">м. К и ї в </w:t>
      </w:r>
      <w:r w:rsidR="00A703C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Справа </w:t>
      </w:r>
      <w:r w:rsidR="00951F5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3-4</w:t>
      </w:r>
      <w:r w:rsidR="00B07301">
        <w:rPr>
          <w:sz w:val="28"/>
          <w:szCs w:val="28"/>
          <w:lang w:val="uk-UA"/>
        </w:rPr>
        <w:t>3/2022(90/22</w:t>
      </w:r>
      <w:r w:rsidRPr="00C46B64">
        <w:rPr>
          <w:sz w:val="28"/>
          <w:szCs w:val="28"/>
          <w:lang w:val="uk-UA"/>
        </w:rPr>
        <w:t>)</w:t>
      </w:r>
    </w:p>
    <w:p w:rsidR="00CA35EA" w:rsidRPr="00C46B64" w:rsidRDefault="005F617F" w:rsidP="00CA35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CA35EA" w:rsidRPr="00C46B64">
        <w:rPr>
          <w:sz w:val="28"/>
          <w:szCs w:val="28"/>
          <w:lang w:val="uk-UA"/>
        </w:rPr>
        <w:t xml:space="preserve"> </w:t>
      </w:r>
      <w:r w:rsidR="00B07301">
        <w:rPr>
          <w:sz w:val="28"/>
          <w:szCs w:val="28"/>
          <w:lang w:val="uk-UA"/>
        </w:rPr>
        <w:t>червня 2022</w:t>
      </w:r>
      <w:r w:rsidR="00CA35EA" w:rsidRPr="00C46B64">
        <w:rPr>
          <w:sz w:val="28"/>
          <w:szCs w:val="28"/>
          <w:lang w:val="uk-UA"/>
        </w:rPr>
        <w:t xml:space="preserve"> року</w:t>
      </w:r>
    </w:p>
    <w:p w:rsidR="00CA35EA" w:rsidRPr="00C46B64" w:rsidRDefault="00951F5C" w:rsidP="00CA35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bookmarkStart w:id="0" w:name="_GoBack"/>
      <w:r w:rsidR="005F617F">
        <w:rPr>
          <w:sz w:val="28"/>
          <w:szCs w:val="28"/>
          <w:lang w:val="uk-UA"/>
        </w:rPr>
        <w:t>81</w:t>
      </w:r>
      <w:r w:rsidR="00B07301">
        <w:rPr>
          <w:sz w:val="28"/>
          <w:szCs w:val="28"/>
          <w:lang w:val="uk-UA"/>
        </w:rPr>
        <w:t>-2(ІІ)</w:t>
      </w:r>
      <w:bookmarkEnd w:id="0"/>
      <w:r w:rsidR="00B07301">
        <w:rPr>
          <w:sz w:val="28"/>
          <w:szCs w:val="28"/>
          <w:lang w:val="uk-UA"/>
        </w:rPr>
        <w:t>/2022</w:t>
      </w:r>
    </w:p>
    <w:p w:rsidR="00CA35EA" w:rsidRPr="00C46B64" w:rsidRDefault="00CA35EA" w:rsidP="00CA35EA">
      <w:pPr>
        <w:rPr>
          <w:sz w:val="28"/>
          <w:szCs w:val="28"/>
          <w:lang w:val="uk-UA"/>
        </w:rPr>
      </w:pPr>
    </w:p>
    <w:p w:rsidR="00E43E79" w:rsidRPr="00E43E79" w:rsidRDefault="00E43E79" w:rsidP="00A703C9">
      <w:pPr>
        <w:ind w:firstLine="709"/>
        <w:jc w:val="both"/>
        <w:rPr>
          <w:sz w:val="28"/>
          <w:szCs w:val="28"/>
          <w:lang w:val="uk-UA"/>
        </w:rPr>
      </w:pPr>
      <w:r w:rsidRPr="00E43E79">
        <w:rPr>
          <w:sz w:val="28"/>
          <w:szCs w:val="28"/>
          <w:lang w:val="uk-UA"/>
        </w:rPr>
        <w:t>Друга колегія суддів Другого сенату Конституційного Суду України у складі:</w:t>
      </w:r>
    </w:p>
    <w:p w:rsidR="00E43E79" w:rsidRPr="00E43E79" w:rsidRDefault="00E43E79" w:rsidP="00A703C9">
      <w:pPr>
        <w:ind w:firstLine="709"/>
        <w:jc w:val="both"/>
        <w:rPr>
          <w:sz w:val="28"/>
          <w:szCs w:val="28"/>
          <w:lang w:val="uk-UA"/>
        </w:rPr>
      </w:pPr>
    </w:p>
    <w:p w:rsidR="00E43E79" w:rsidRPr="00E43E79" w:rsidRDefault="00E43E79" w:rsidP="00A703C9">
      <w:pPr>
        <w:ind w:firstLine="709"/>
        <w:jc w:val="both"/>
        <w:rPr>
          <w:sz w:val="28"/>
          <w:szCs w:val="28"/>
          <w:lang w:val="uk-UA"/>
        </w:rPr>
      </w:pPr>
      <w:r w:rsidRPr="00E43E79">
        <w:rPr>
          <w:sz w:val="28"/>
          <w:szCs w:val="28"/>
          <w:lang w:val="uk-UA"/>
        </w:rPr>
        <w:t>Сліденко Ігор Дмитрович (голова засідання),</w:t>
      </w:r>
    </w:p>
    <w:p w:rsidR="00E43E79" w:rsidRPr="00E43E79" w:rsidRDefault="00E43E79" w:rsidP="00A703C9">
      <w:pPr>
        <w:ind w:firstLine="709"/>
        <w:jc w:val="both"/>
        <w:rPr>
          <w:sz w:val="28"/>
          <w:szCs w:val="28"/>
          <w:lang w:val="uk-UA"/>
        </w:rPr>
      </w:pPr>
      <w:r w:rsidRPr="00E43E79">
        <w:rPr>
          <w:sz w:val="28"/>
          <w:szCs w:val="28"/>
          <w:lang w:val="uk-UA"/>
        </w:rPr>
        <w:t>Головатий Сергій Петрович (доповідач),</w:t>
      </w:r>
    </w:p>
    <w:p w:rsidR="00CA35EA" w:rsidRPr="00C46B64" w:rsidRDefault="00E43E79" w:rsidP="00A703C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43E79">
        <w:rPr>
          <w:sz w:val="28"/>
          <w:szCs w:val="28"/>
          <w:lang w:val="uk-UA"/>
        </w:rPr>
        <w:t>Лемак Василь Васильович,</w:t>
      </w:r>
    </w:p>
    <w:p w:rsidR="00E43E79" w:rsidRDefault="00E43E79" w:rsidP="00A703C9">
      <w:pPr>
        <w:ind w:firstLine="709"/>
        <w:jc w:val="both"/>
        <w:rPr>
          <w:rFonts w:cs="Times New Roman"/>
          <w:color w:val="000000"/>
          <w:sz w:val="28"/>
          <w:szCs w:val="28"/>
          <w:lang w:val="uk-UA" w:bidi="ar-SA"/>
        </w:rPr>
      </w:pPr>
    </w:p>
    <w:p w:rsidR="00CA35EA" w:rsidRPr="00C46B64" w:rsidRDefault="00CA35EA" w:rsidP="00A703C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r w:rsidRPr="00C46B64">
        <w:rPr>
          <w:rFonts w:cs="Times New Roman"/>
          <w:color w:val="000000"/>
          <w:sz w:val="28"/>
          <w:szCs w:val="28"/>
          <w:lang w:val="uk-UA" w:bidi="ar-SA"/>
        </w:rPr>
        <w:t xml:space="preserve">розглянула на засіданні питання про відкриття конституційного провадження у справі </w:t>
      </w:r>
      <w:r w:rsidRPr="00C46B64">
        <w:rPr>
          <w:rFonts w:cs="Times New Roman"/>
          <w:sz w:val="28"/>
          <w:szCs w:val="28"/>
          <w:lang w:val="uk-UA" w:bidi="ar-SA"/>
        </w:rPr>
        <w:t xml:space="preserve">за конституційною скаргою </w:t>
      </w:r>
      <w:r w:rsidR="00B07301" w:rsidRPr="00B07301">
        <w:rPr>
          <w:rFonts w:cs="Times New Roman"/>
          <w:sz w:val="28"/>
          <w:szCs w:val="28"/>
          <w:lang w:val="uk-UA" w:bidi="ar-SA"/>
        </w:rPr>
        <w:t>ВІЕР Глобал Партнерс, Л.П. (VR Global Partners, L.P.) щодо відповідності Конституції України (конституційності) абзацу першого частини першої статті 1077 Цивільного кодексу України</w:t>
      </w:r>
      <w:r w:rsidRPr="00C46B64">
        <w:rPr>
          <w:rFonts w:cs="Times New Roman"/>
          <w:sz w:val="28"/>
          <w:szCs w:val="28"/>
          <w:lang w:val="uk-UA" w:bidi="ar-SA"/>
        </w:rPr>
        <w:t>.</w:t>
      </w:r>
    </w:p>
    <w:p w:rsidR="00CA35EA" w:rsidRPr="00C46B64" w:rsidRDefault="00CA35EA" w:rsidP="00A703C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51F5C" w:rsidRDefault="00CA35EA" w:rsidP="00A703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B64">
        <w:rPr>
          <w:sz w:val="28"/>
          <w:szCs w:val="28"/>
          <w:lang w:val="uk-UA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CA35EA" w:rsidRDefault="00CA35EA" w:rsidP="00A703C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CA35EA" w:rsidRDefault="00CA35EA" w:rsidP="00A703C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  <w:r w:rsidRPr="00C46B64">
        <w:rPr>
          <w:b/>
          <w:sz w:val="28"/>
          <w:szCs w:val="28"/>
          <w:lang w:val="uk-UA"/>
        </w:rPr>
        <w:t>у с т а н о в и л а:</w:t>
      </w:r>
    </w:p>
    <w:p w:rsidR="00CA35EA" w:rsidRDefault="00CA35EA" w:rsidP="00A703C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CA35EA" w:rsidRPr="009219C3" w:rsidRDefault="00CA35EA" w:rsidP="00A703C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34701">
        <w:rPr>
          <w:sz w:val="28"/>
          <w:szCs w:val="28"/>
          <w:lang w:val="uk-UA"/>
        </w:rPr>
        <w:t xml:space="preserve">1. </w:t>
      </w:r>
      <w:r w:rsidR="00B07301" w:rsidRPr="00B07301">
        <w:rPr>
          <w:sz w:val="28"/>
          <w:szCs w:val="28"/>
          <w:lang w:val="uk-UA"/>
        </w:rPr>
        <w:t>ВІЕР Глобал Партнерс, Л.П. (VR Global Partners, L.P.)</w:t>
      </w:r>
      <w:r w:rsidR="00B07301">
        <w:rPr>
          <w:sz w:val="28"/>
          <w:szCs w:val="28"/>
          <w:lang w:val="uk-UA"/>
        </w:rPr>
        <w:t xml:space="preserve"> </w:t>
      </w:r>
      <w:r w:rsidRPr="00C34701">
        <w:rPr>
          <w:sz w:val="28"/>
          <w:szCs w:val="28"/>
          <w:lang w:val="uk-UA"/>
        </w:rPr>
        <w:t>як суб’єкт права на конституційну скаргу (далі – Заявник) звернувся до Конституційного Суду</w:t>
      </w:r>
      <w:r w:rsidR="00B07301">
        <w:rPr>
          <w:sz w:val="28"/>
          <w:szCs w:val="28"/>
          <w:lang w:val="uk-UA"/>
        </w:rPr>
        <w:t xml:space="preserve"> </w:t>
      </w:r>
      <w:r w:rsidR="00B07301">
        <w:rPr>
          <w:sz w:val="28"/>
          <w:szCs w:val="28"/>
          <w:lang w:val="uk-UA"/>
        </w:rPr>
        <w:lastRenderedPageBreak/>
        <w:t xml:space="preserve">України з клопотанням (вх. </w:t>
      </w:r>
      <w:r w:rsidR="00951F5C">
        <w:rPr>
          <w:sz w:val="28"/>
          <w:szCs w:val="28"/>
          <w:lang w:val="uk-UA"/>
        </w:rPr>
        <w:t xml:space="preserve">№ </w:t>
      </w:r>
      <w:r w:rsidR="00B07301">
        <w:rPr>
          <w:sz w:val="28"/>
          <w:szCs w:val="28"/>
          <w:lang w:val="uk-UA"/>
        </w:rPr>
        <w:t>16/9</w:t>
      </w:r>
      <w:r>
        <w:rPr>
          <w:sz w:val="28"/>
          <w:szCs w:val="28"/>
          <w:lang w:val="uk-UA"/>
        </w:rPr>
        <w:t>0</w:t>
      </w:r>
      <w:r w:rsidR="00B073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B07301">
        <w:rPr>
          <w:sz w:val="28"/>
          <w:szCs w:val="28"/>
          <w:lang w:val="uk-UA"/>
        </w:rPr>
        <w:t>20</w:t>
      </w:r>
      <w:r w:rsidRPr="00C34701">
        <w:rPr>
          <w:sz w:val="28"/>
          <w:szCs w:val="28"/>
          <w:lang w:val="uk-UA"/>
        </w:rPr>
        <w:t xml:space="preserve"> </w:t>
      </w:r>
      <w:r w:rsidR="00B07301">
        <w:rPr>
          <w:sz w:val="28"/>
          <w:szCs w:val="28"/>
          <w:lang w:val="uk-UA"/>
        </w:rPr>
        <w:t>травня</w:t>
      </w:r>
      <w:r w:rsidRPr="00C34701">
        <w:rPr>
          <w:sz w:val="28"/>
          <w:szCs w:val="28"/>
          <w:lang w:val="uk-UA"/>
        </w:rPr>
        <w:t xml:space="preserve"> 202</w:t>
      </w:r>
      <w:r w:rsidR="00B07301">
        <w:rPr>
          <w:sz w:val="28"/>
          <w:szCs w:val="28"/>
          <w:lang w:val="uk-UA"/>
        </w:rPr>
        <w:t>2 року) визнати таким</w:t>
      </w:r>
      <w:r w:rsidRPr="00C34701">
        <w:rPr>
          <w:sz w:val="28"/>
          <w:szCs w:val="28"/>
          <w:lang w:val="uk-UA"/>
        </w:rPr>
        <w:t>, що не відповіда</w:t>
      </w:r>
      <w:r w:rsidR="00B07301">
        <w:rPr>
          <w:sz w:val="28"/>
          <w:szCs w:val="28"/>
          <w:lang w:val="uk-UA"/>
        </w:rPr>
        <w:t>є</w:t>
      </w:r>
      <w:r w:rsidRPr="00C34701">
        <w:rPr>
          <w:sz w:val="28"/>
          <w:szCs w:val="28"/>
          <w:lang w:val="uk-UA"/>
        </w:rPr>
        <w:t xml:space="preserve"> Конститу</w:t>
      </w:r>
      <w:r w:rsidR="00B07301">
        <w:rPr>
          <w:sz w:val="28"/>
          <w:szCs w:val="28"/>
          <w:lang w:val="uk-UA"/>
        </w:rPr>
        <w:t xml:space="preserve">ції України (є неконституційним), </w:t>
      </w:r>
      <w:r w:rsidR="00BD62FB">
        <w:rPr>
          <w:rFonts w:cs="Times New Roman"/>
          <w:sz w:val="28"/>
          <w:szCs w:val="28"/>
          <w:lang w:val="uk-UA" w:bidi="ar-SA"/>
        </w:rPr>
        <w:t>абзац</w:t>
      </w:r>
      <w:r w:rsidR="00B07301" w:rsidRPr="00B07301">
        <w:rPr>
          <w:rFonts w:cs="Times New Roman"/>
          <w:sz w:val="28"/>
          <w:szCs w:val="28"/>
          <w:lang w:val="uk-UA" w:bidi="ar-SA"/>
        </w:rPr>
        <w:t xml:space="preserve"> перш</w:t>
      </w:r>
      <w:r w:rsidR="00BD62FB">
        <w:rPr>
          <w:rFonts w:cs="Times New Roman"/>
          <w:sz w:val="28"/>
          <w:szCs w:val="28"/>
          <w:lang w:val="uk-UA" w:bidi="ar-SA"/>
        </w:rPr>
        <w:t>ий</w:t>
      </w:r>
      <w:r w:rsidR="00A703C9">
        <w:rPr>
          <w:rFonts w:cs="Times New Roman"/>
          <w:sz w:val="28"/>
          <w:szCs w:val="28"/>
          <w:lang w:val="uk-UA" w:bidi="ar-SA"/>
        </w:rPr>
        <w:br/>
      </w:r>
      <w:r w:rsidR="00B07301" w:rsidRPr="00B07301">
        <w:rPr>
          <w:rFonts w:cs="Times New Roman"/>
          <w:sz w:val="28"/>
          <w:szCs w:val="28"/>
          <w:lang w:val="uk-UA" w:bidi="ar-SA"/>
        </w:rPr>
        <w:t>частини</w:t>
      </w:r>
      <w:r w:rsidR="00A703C9">
        <w:rPr>
          <w:rFonts w:cs="Times New Roman"/>
          <w:sz w:val="28"/>
          <w:szCs w:val="28"/>
          <w:lang w:val="uk-UA" w:bidi="ar-SA"/>
        </w:rPr>
        <w:t xml:space="preserve"> </w:t>
      </w:r>
      <w:r w:rsidR="00B07301" w:rsidRPr="00B07301">
        <w:rPr>
          <w:rFonts w:cs="Times New Roman"/>
          <w:sz w:val="28"/>
          <w:szCs w:val="28"/>
          <w:lang w:val="uk-UA" w:bidi="ar-SA"/>
        </w:rPr>
        <w:t>першої статті 1077 Цивільного кодексу України</w:t>
      </w:r>
      <w:r w:rsidR="00B07301" w:rsidRPr="00C34701">
        <w:rPr>
          <w:sz w:val="28"/>
          <w:szCs w:val="28"/>
          <w:lang w:val="uk-UA"/>
        </w:rPr>
        <w:t xml:space="preserve"> </w:t>
      </w:r>
      <w:r w:rsidR="00BD62FB">
        <w:rPr>
          <w:sz w:val="28"/>
          <w:szCs w:val="28"/>
          <w:lang w:val="uk-UA"/>
        </w:rPr>
        <w:t>(далі – Кодекс), згідно з яким</w:t>
      </w:r>
      <w:r w:rsidRPr="00C34701">
        <w:rPr>
          <w:sz w:val="28"/>
          <w:szCs w:val="28"/>
          <w:lang w:val="uk-UA"/>
        </w:rPr>
        <w:t xml:space="preserve"> </w:t>
      </w:r>
      <w:r w:rsidR="00B07301">
        <w:rPr>
          <w:sz w:val="28"/>
          <w:szCs w:val="28"/>
          <w:lang w:val="uk-UA"/>
        </w:rPr>
        <w:t>„з</w:t>
      </w:r>
      <w:r w:rsidR="00B07301" w:rsidRPr="00B07301">
        <w:rPr>
          <w:sz w:val="28"/>
          <w:szCs w:val="28"/>
          <w:lang w:val="uk-UA"/>
        </w:rPr>
        <w:t>а договором факторингу (фінансування під відступлення права грошової вимоги) одна сто</w:t>
      </w:r>
      <w:r w:rsidR="00B07301">
        <w:rPr>
          <w:sz w:val="28"/>
          <w:szCs w:val="28"/>
          <w:lang w:val="uk-UA"/>
        </w:rPr>
        <w:t>рона (фактор) передає або зобов</w:t>
      </w:r>
      <w:r w:rsidR="00B07301" w:rsidRPr="00B07301">
        <w:rPr>
          <w:sz w:val="28"/>
          <w:szCs w:val="28"/>
          <w:lang w:val="uk-UA"/>
        </w:rPr>
        <w:t>’язується передати грошові кошти в розпорядження другої сторони (клієнта) за плату (у будь-який передбачений договором спосіб</w:t>
      </w:r>
      <w:r w:rsidR="00B07301">
        <w:rPr>
          <w:sz w:val="28"/>
          <w:szCs w:val="28"/>
          <w:lang w:val="uk-UA"/>
        </w:rPr>
        <w:t>), а клієнт відступає або зобов</w:t>
      </w:r>
      <w:r w:rsidR="00B07301" w:rsidRPr="00B07301">
        <w:rPr>
          <w:sz w:val="28"/>
          <w:szCs w:val="28"/>
          <w:lang w:val="uk-UA"/>
        </w:rPr>
        <w:t>’язується відступити факторові своє право грошової вим</w:t>
      </w:r>
      <w:r w:rsidR="00B07301">
        <w:rPr>
          <w:sz w:val="28"/>
          <w:szCs w:val="28"/>
          <w:lang w:val="uk-UA"/>
        </w:rPr>
        <w:t>оги до третьої особи (боржника)</w:t>
      </w:r>
      <w:r w:rsidRPr="009219C3">
        <w:rPr>
          <w:sz w:val="28"/>
          <w:szCs w:val="28"/>
          <w:lang w:val="uk-UA"/>
        </w:rPr>
        <w:t>“.</w:t>
      </w:r>
    </w:p>
    <w:p w:rsidR="00CA35EA" w:rsidRPr="009219C3" w:rsidRDefault="00CA35EA" w:rsidP="00A703C9">
      <w:pPr>
        <w:pStyle w:val="a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219C3">
        <w:rPr>
          <w:sz w:val="28"/>
          <w:szCs w:val="28"/>
        </w:rPr>
        <w:t xml:space="preserve">На думку Заявника, </w:t>
      </w:r>
      <w:r w:rsidR="00BD62FB">
        <w:rPr>
          <w:sz w:val="28"/>
          <w:szCs w:val="28"/>
        </w:rPr>
        <w:t>абзац</w:t>
      </w:r>
      <w:r w:rsidR="00BD62FB" w:rsidRPr="00B07301">
        <w:rPr>
          <w:sz w:val="28"/>
          <w:szCs w:val="28"/>
        </w:rPr>
        <w:t xml:space="preserve"> перш</w:t>
      </w:r>
      <w:r w:rsidR="00BD62FB">
        <w:rPr>
          <w:sz w:val="28"/>
          <w:szCs w:val="28"/>
        </w:rPr>
        <w:t>ий</w:t>
      </w:r>
      <w:r w:rsidR="00BD62FB" w:rsidRPr="00B07301">
        <w:rPr>
          <w:sz w:val="28"/>
          <w:szCs w:val="28"/>
        </w:rPr>
        <w:t xml:space="preserve"> частини</w:t>
      </w:r>
      <w:r w:rsidR="00BD62FB">
        <w:rPr>
          <w:sz w:val="28"/>
          <w:szCs w:val="28"/>
        </w:rPr>
        <w:t> </w:t>
      </w:r>
      <w:r w:rsidR="00BD62FB" w:rsidRPr="00B07301">
        <w:rPr>
          <w:sz w:val="28"/>
          <w:szCs w:val="28"/>
        </w:rPr>
        <w:t xml:space="preserve">першої статті 1077 </w:t>
      </w:r>
      <w:r w:rsidRPr="009219C3">
        <w:rPr>
          <w:sz w:val="28"/>
          <w:szCs w:val="28"/>
        </w:rPr>
        <w:t>Кодексу не відповіда</w:t>
      </w:r>
      <w:r w:rsidR="00B07301">
        <w:rPr>
          <w:sz w:val="28"/>
          <w:szCs w:val="28"/>
        </w:rPr>
        <w:t xml:space="preserve">є </w:t>
      </w:r>
      <w:r w:rsidR="00B07301" w:rsidRPr="00B07301">
        <w:rPr>
          <w:sz w:val="28"/>
          <w:szCs w:val="28"/>
        </w:rPr>
        <w:t>частин</w:t>
      </w:r>
      <w:r w:rsidR="00BD62FB">
        <w:rPr>
          <w:sz w:val="28"/>
          <w:szCs w:val="28"/>
        </w:rPr>
        <w:t>і</w:t>
      </w:r>
      <w:r w:rsidR="00B07301" w:rsidRPr="00B07301">
        <w:rPr>
          <w:sz w:val="28"/>
          <w:szCs w:val="28"/>
        </w:rPr>
        <w:t xml:space="preserve"> перш</w:t>
      </w:r>
      <w:r w:rsidR="00BD62FB">
        <w:rPr>
          <w:sz w:val="28"/>
          <w:szCs w:val="28"/>
        </w:rPr>
        <w:t>ій</w:t>
      </w:r>
      <w:r w:rsidR="00B07301">
        <w:rPr>
          <w:sz w:val="28"/>
          <w:szCs w:val="28"/>
        </w:rPr>
        <w:t xml:space="preserve"> статті 41, частин</w:t>
      </w:r>
      <w:r w:rsidR="00BD62FB">
        <w:rPr>
          <w:sz w:val="28"/>
          <w:szCs w:val="28"/>
        </w:rPr>
        <w:t>ам першій</w:t>
      </w:r>
      <w:r w:rsidR="00B07301">
        <w:rPr>
          <w:sz w:val="28"/>
          <w:szCs w:val="28"/>
        </w:rPr>
        <w:t>, трет</w:t>
      </w:r>
      <w:r w:rsidR="00BD62FB">
        <w:rPr>
          <w:sz w:val="28"/>
          <w:szCs w:val="28"/>
        </w:rPr>
        <w:t xml:space="preserve">ій </w:t>
      </w:r>
      <w:r w:rsidR="00A703C9">
        <w:rPr>
          <w:sz w:val="28"/>
          <w:szCs w:val="28"/>
        </w:rPr>
        <w:t>статті 42,</w:t>
      </w:r>
      <w:r w:rsidR="00A703C9">
        <w:rPr>
          <w:sz w:val="28"/>
          <w:szCs w:val="28"/>
        </w:rPr>
        <w:br/>
      </w:r>
      <w:r w:rsidR="00B07301" w:rsidRPr="00B07301">
        <w:rPr>
          <w:sz w:val="28"/>
          <w:szCs w:val="28"/>
        </w:rPr>
        <w:t>частин</w:t>
      </w:r>
      <w:r w:rsidR="00BD62FB">
        <w:rPr>
          <w:sz w:val="28"/>
          <w:szCs w:val="28"/>
        </w:rPr>
        <w:t>і</w:t>
      </w:r>
      <w:r w:rsidR="00A703C9">
        <w:rPr>
          <w:sz w:val="28"/>
          <w:szCs w:val="28"/>
        </w:rPr>
        <w:t xml:space="preserve"> </w:t>
      </w:r>
      <w:r w:rsidR="00B07301" w:rsidRPr="00B07301">
        <w:rPr>
          <w:sz w:val="28"/>
          <w:szCs w:val="28"/>
        </w:rPr>
        <w:t>перш</w:t>
      </w:r>
      <w:r w:rsidR="00BD62FB">
        <w:rPr>
          <w:sz w:val="28"/>
          <w:szCs w:val="28"/>
        </w:rPr>
        <w:t>ій</w:t>
      </w:r>
      <w:r w:rsidR="00B07301">
        <w:rPr>
          <w:sz w:val="28"/>
          <w:szCs w:val="28"/>
        </w:rPr>
        <w:t xml:space="preserve"> </w:t>
      </w:r>
      <w:r w:rsidR="00B07301" w:rsidRPr="00B07301">
        <w:rPr>
          <w:sz w:val="28"/>
          <w:szCs w:val="28"/>
        </w:rPr>
        <w:t>статті</w:t>
      </w:r>
      <w:r w:rsidR="00A703C9">
        <w:rPr>
          <w:sz w:val="28"/>
          <w:szCs w:val="28"/>
        </w:rPr>
        <w:t xml:space="preserve"> </w:t>
      </w:r>
      <w:r w:rsidR="00B07301" w:rsidRPr="00B07301">
        <w:rPr>
          <w:sz w:val="28"/>
          <w:szCs w:val="28"/>
        </w:rPr>
        <w:t>64 Конституції України</w:t>
      </w:r>
      <w:r w:rsidRPr="009219C3">
        <w:rPr>
          <w:sz w:val="28"/>
          <w:szCs w:val="28"/>
        </w:rPr>
        <w:t>.</w:t>
      </w:r>
    </w:p>
    <w:p w:rsidR="00CA35EA" w:rsidRPr="00D85378" w:rsidRDefault="00CA35EA" w:rsidP="00A703C9">
      <w:pPr>
        <w:pStyle w:val="a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219C3">
        <w:rPr>
          <w:rFonts w:eastAsia="HiddenHorzOCR"/>
          <w:sz w:val="28"/>
          <w:szCs w:val="28"/>
          <w:lang w:eastAsia="uk-UA"/>
        </w:rPr>
        <w:t xml:space="preserve">Обґрунтовуючи </w:t>
      </w:r>
      <w:r w:rsidR="00E93F13">
        <w:rPr>
          <w:rFonts w:eastAsia="HiddenHorzOCR"/>
          <w:sz w:val="28"/>
          <w:szCs w:val="28"/>
          <w:lang w:eastAsia="uk-UA"/>
        </w:rPr>
        <w:t xml:space="preserve">твердження про </w:t>
      </w:r>
      <w:r w:rsidRPr="009219C3">
        <w:rPr>
          <w:rFonts w:eastAsia="HiddenHorzOCR"/>
          <w:sz w:val="28"/>
          <w:szCs w:val="28"/>
          <w:lang w:eastAsia="uk-UA"/>
        </w:rPr>
        <w:t xml:space="preserve">неконституційність </w:t>
      </w:r>
      <w:r w:rsidR="00B07301">
        <w:rPr>
          <w:rFonts w:eastAsia="HiddenHorzOCR"/>
          <w:sz w:val="28"/>
          <w:szCs w:val="28"/>
          <w:lang w:eastAsia="uk-UA"/>
        </w:rPr>
        <w:t>абзацу першого</w:t>
      </w:r>
      <w:r w:rsidRPr="00D85378">
        <w:rPr>
          <w:rFonts w:eastAsia="HiddenHorzOCR"/>
          <w:sz w:val="28"/>
          <w:szCs w:val="28"/>
          <w:lang w:eastAsia="uk-UA"/>
        </w:rPr>
        <w:t xml:space="preserve"> частини</w:t>
      </w:r>
      <w:r w:rsidR="00BD62FB">
        <w:rPr>
          <w:rFonts w:eastAsia="HiddenHorzOCR"/>
          <w:sz w:val="28"/>
          <w:szCs w:val="28"/>
          <w:lang w:eastAsia="uk-UA"/>
        </w:rPr>
        <w:t xml:space="preserve"> </w:t>
      </w:r>
      <w:r w:rsidR="00B07301">
        <w:rPr>
          <w:rFonts w:eastAsia="HiddenHorzOCR"/>
          <w:sz w:val="28"/>
          <w:szCs w:val="28"/>
          <w:lang w:eastAsia="uk-UA"/>
        </w:rPr>
        <w:t>першої</w:t>
      </w:r>
      <w:r w:rsidRPr="00D85378">
        <w:rPr>
          <w:rFonts w:eastAsia="HiddenHorzOCR"/>
          <w:sz w:val="28"/>
          <w:szCs w:val="28"/>
          <w:lang w:eastAsia="uk-UA"/>
        </w:rPr>
        <w:t xml:space="preserve"> статті</w:t>
      </w:r>
      <w:r w:rsidR="00BD62FB">
        <w:rPr>
          <w:rFonts w:eastAsia="HiddenHorzOCR"/>
          <w:sz w:val="28"/>
          <w:szCs w:val="28"/>
          <w:lang w:eastAsia="uk-UA"/>
        </w:rPr>
        <w:t> </w:t>
      </w:r>
      <w:r w:rsidR="00B07301">
        <w:rPr>
          <w:rFonts w:eastAsia="HiddenHorzOCR"/>
          <w:sz w:val="28"/>
          <w:szCs w:val="28"/>
          <w:lang w:eastAsia="uk-UA"/>
        </w:rPr>
        <w:t>1077</w:t>
      </w:r>
      <w:r>
        <w:rPr>
          <w:rFonts w:eastAsia="HiddenHorzOCR"/>
          <w:sz w:val="28"/>
          <w:szCs w:val="28"/>
          <w:lang w:eastAsia="uk-UA"/>
        </w:rPr>
        <w:t xml:space="preserve"> Кодексу</w:t>
      </w:r>
      <w:r w:rsidRPr="00D85378">
        <w:rPr>
          <w:rFonts w:eastAsia="HiddenHorzOCR"/>
          <w:sz w:val="28"/>
          <w:szCs w:val="28"/>
          <w:lang w:eastAsia="uk-UA"/>
        </w:rPr>
        <w:t xml:space="preserve">, </w:t>
      </w:r>
      <w:r>
        <w:rPr>
          <w:rFonts w:eastAsia="HiddenHorzOCR"/>
          <w:sz w:val="28"/>
          <w:szCs w:val="28"/>
          <w:lang w:eastAsia="uk-UA"/>
        </w:rPr>
        <w:t>Заявник</w:t>
      </w:r>
      <w:r w:rsidRPr="00D85378">
        <w:rPr>
          <w:rFonts w:eastAsia="HiddenHorzOCR"/>
          <w:sz w:val="28"/>
          <w:szCs w:val="28"/>
          <w:lang w:eastAsia="uk-UA"/>
        </w:rPr>
        <w:t xml:space="preserve"> посилається на </w:t>
      </w:r>
      <w:r>
        <w:rPr>
          <w:rFonts w:eastAsia="HiddenHorzOCR"/>
          <w:sz w:val="28"/>
          <w:szCs w:val="28"/>
          <w:lang w:eastAsia="uk-UA"/>
        </w:rPr>
        <w:t>приписи Конституції України,</w:t>
      </w:r>
      <w:r w:rsidRPr="00D85378">
        <w:rPr>
          <w:rFonts w:eastAsia="HiddenHorzOCR"/>
          <w:sz w:val="28"/>
          <w:szCs w:val="28"/>
          <w:lang w:eastAsia="uk-UA"/>
        </w:rPr>
        <w:t xml:space="preserve"> </w:t>
      </w:r>
      <w:r w:rsidR="001074DF">
        <w:rPr>
          <w:rFonts w:eastAsia="HiddenHorzOCR"/>
          <w:sz w:val="28"/>
          <w:szCs w:val="28"/>
          <w:lang w:eastAsia="uk-UA"/>
        </w:rPr>
        <w:t>Кодексу</w:t>
      </w:r>
      <w:r w:rsidRPr="00D85378">
        <w:rPr>
          <w:rFonts w:eastAsia="HiddenHorzOCR"/>
          <w:sz w:val="28"/>
          <w:szCs w:val="28"/>
          <w:lang w:eastAsia="uk-UA"/>
        </w:rPr>
        <w:t>,</w:t>
      </w:r>
      <w:r w:rsidR="001074DF">
        <w:rPr>
          <w:rFonts w:eastAsia="HiddenHorzOCR"/>
          <w:sz w:val="28"/>
          <w:szCs w:val="28"/>
          <w:lang w:eastAsia="uk-UA"/>
        </w:rPr>
        <w:t xml:space="preserve"> законів України, практику Великої Палати Верховного Суду щодо розмежування </w:t>
      </w:r>
      <w:r w:rsidR="00E93F13">
        <w:rPr>
          <w:rFonts w:eastAsia="HiddenHorzOCR"/>
          <w:sz w:val="28"/>
          <w:szCs w:val="28"/>
          <w:lang w:eastAsia="uk-UA"/>
        </w:rPr>
        <w:t xml:space="preserve">понять </w:t>
      </w:r>
      <w:r w:rsidR="001074DF">
        <w:rPr>
          <w:rFonts w:eastAsia="HiddenHorzOCR"/>
          <w:sz w:val="28"/>
          <w:szCs w:val="28"/>
          <w:lang w:eastAsia="uk-UA"/>
        </w:rPr>
        <w:t>„відступлення права вимоги (купівл</w:t>
      </w:r>
      <w:r w:rsidR="00E93F13">
        <w:rPr>
          <w:rFonts w:eastAsia="HiddenHorzOCR"/>
          <w:sz w:val="28"/>
          <w:szCs w:val="28"/>
          <w:lang w:eastAsia="uk-UA"/>
        </w:rPr>
        <w:t>я</w:t>
      </w:r>
      <w:r w:rsidR="001074DF">
        <w:rPr>
          <w:rFonts w:eastAsia="HiddenHorzOCR"/>
          <w:sz w:val="28"/>
          <w:szCs w:val="28"/>
          <w:lang w:eastAsia="uk-UA"/>
        </w:rPr>
        <w:t>-</w:t>
      </w:r>
      <w:r w:rsidR="00E93F13">
        <w:rPr>
          <w:rFonts w:eastAsia="HiddenHorzOCR"/>
          <w:sz w:val="28"/>
          <w:szCs w:val="28"/>
          <w:lang w:eastAsia="uk-UA"/>
        </w:rPr>
        <w:t>продаж права вимоги)“ і „факторинг</w:t>
      </w:r>
      <w:r w:rsidR="001074DF">
        <w:rPr>
          <w:rFonts w:eastAsia="HiddenHorzOCR"/>
          <w:sz w:val="28"/>
          <w:szCs w:val="28"/>
          <w:lang w:eastAsia="uk-UA"/>
        </w:rPr>
        <w:t>“,</w:t>
      </w:r>
      <w:r w:rsidRPr="00D85378">
        <w:rPr>
          <w:rFonts w:eastAsia="HiddenHorzOCR"/>
          <w:sz w:val="28"/>
          <w:szCs w:val="28"/>
          <w:lang w:eastAsia="uk-UA"/>
        </w:rPr>
        <w:t xml:space="preserve"> а також на судові рішення у своїй справі.</w:t>
      </w:r>
    </w:p>
    <w:p w:rsidR="00CA35EA" w:rsidRPr="00C70E7B" w:rsidRDefault="00CA35EA" w:rsidP="00A703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CA35EA" w:rsidRDefault="00CA35EA" w:rsidP="00A703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E44C3">
        <w:rPr>
          <w:bCs/>
          <w:sz w:val="28"/>
          <w:szCs w:val="28"/>
          <w:shd w:val="clear" w:color="auto" w:fill="FFFFFF"/>
          <w:lang w:val="uk-UA"/>
        </w:rPr>
        <w:t>2.</w:t>
      </w:r>
      <w:r w:rsidRPr="001E44C3">
        <w:rPr>
          <w:sz w:val="28"/>
          <w:szCs w:val="28"/>
          <w:lang w:val="uk-UA"/>
        </w:rPr>
        <w:t xml:space="preserve"> Зі змісту конституційної скарги та долучених до неї матеріалів випливає таке.</w:t>
      </w:r>
    </w:p>
    <w:p w:rsidR="00CA35EA" w:rsidRDefault="00CA35EA" w:rsidP="00A703C9">
      <w:pPr>
        <w:autoSpaceDE w:val="0"/>
        <w:autoSpaceDN w:val="0"/>
        <w:adjustRightInd w:val="0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</w:p>
    <w:p w:rsidR="001074DF" w:rsidRPr="001074DF" w:rsidRDefault="00CA35EA" w:rsidP="00A703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  <w:r>
        <w:rPr>
          <w:rFonts w:eastAsia="HiddenHorzOCR" w:cs="Times New Roman"/>
          <w:sz w:val="28"/>
          <w:szCs w:val="28"/>
          <w:lang w:val="uk-UA" w:eastAsia="uk-UA" w:bidi="ar-SA"/>
        </w:rPr>
        <w:t xml:space="preserve">2.1. 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>У 2011</w:t>
      </w:r>
      <w:r w:rsidR="00AF5394">
        <w:rPr>
          <w:rFonts w:eastAsia="HiddenHorzOCR" w:cs="Times New Roman"/>
          <w:sz w:val="28"/>
          <w:szCs w:val="28"/>
          <w:lang w:val="uk-UA" w:eastAsia="uk-UA" w:bidi="ar-SA"/>
        </w:rPr>
        <w:t>–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>2012 роках між Публічним акціонерним товариством „Акціонерний комерційний промислово-інвестиці</w:t>
      </w:r>
      <w:r w:rsidR="00A154B1">
        <w:rPr>
          <w:rFonts w:eastAsia="HiddenHorzOCR" w:cs="Times New Roman"/>
          <w:sz w:val="28"/>
          <w:szCs w:val="28"/>
          <w:lang w:val="uk-UA" w:eastAsia="uk-UA" w:bidi="ar-SA"/>
        </w:rPr>
        <w:t>йний банк“ (далі – Банк) та Державним територіально-галузевим об’єднанням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="00A154B1">
        <w:rPr>
          <w:rFonts w:eastAsia="HiddenHorzOCR" w:cs="Times New Roman"/>
          <w:sz w:val="28"/>
          <w:szCs w:val="28"/>
          <w:lang w:val="uk-UA" w:eastAsia="uk-UA" w:bidi="ar-SA"/>
        </w:rPr>
        <w:t>„Південно-західна залізниця“, Державним підприємством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 xml:space="preserve"> „Південна залізниця“, правонаступником прав і обов’язків яких </w:t>
      </w:r>
      <w:r w:rsidR="000972E4">
        <w:rPr>
          <w:rFonts w:eastAsia="HiddenHorzOCR" w:cs="Times New Roman"/>
          <w:sz w:val="28"/>
          <w:szCs w:val="28"/>
          <w:lang w:val="uk-UA" w:eastAsia="uk-UA" w:bidi="ar-SA"/>
        </w:rPr>
        <w:t>стало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 xml:space="preserve"> Акціонерне товариство „Українська залізниця</w:t>
      </w:r>
      <w:r w:rsidR="00BD62FB">
        <w:rPr>
          <w:rFonts w:eastAsia="HiddenHorzOCR" w:cs="Times New Roman"/>
          <w:sz w:val="28"/>
          <w:szCs w:val="28"/>
          <w:lang w:val="uk-UA" w:eastAsia="uk-UA" w:bidi="ar-SA"/>
        </w:rPr>
        <w:t>“</w:t>
      </w:r>
      <w:r w:rsidR="000972E4">
        <w:rPr>
          <w:rFonts w:eastAsia="HiddenHorzOCR" w:cs="Times New Roman"/>
          <w:sz w:val="28"/>
          <w:szCs w:val="28"/>
          <w:lang w:val="uk-UA" w:eastAsia="uk-UA" w:bidi="ar-SA"/>
        </w:rPr>
        <w:br/>
      </w:r>
      <w:r w:rsidR="00BD62FB">
        <w:rPr>
          <w:rFonts w:eastAsia="HiddenHorzOCR" w:cs="Times New Roman"/>
          <w:sz w:val="28"/>
          <w:szCs w:val="28"/>
          <w:lang w:val="uk-UA" w:eastAsia="uk-UA" w:bidi="ar-SA"/>
        </w:rPr>
        <w:t>(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>далі – АТ „Українська залізниця“)</w:t>
      </w:r>
      <w:r w:rsidR="00A154B1">
        <w:rPr>
          <w:rFonts w:eastAsia="HiddenHorzOCR" w:cs="Times New Roman"/>
          <w:sz w:val="28"/>
          <w:szCs w:val="28"/>
          <w:lang w:val="uk-UA" w:eastAsia="uk-UA" w:bidi="ar-SA"/>
        </w:rPr>
        <w:t>,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 xml:space="preserve"> було укладено </w:t>
      </w:r>
      <w:r w:rsidR="00AF5394">
        <w:rPr>
          <w:rFonts w:eastAsia="HiddenHorzOCR" w:cs="Times New Roman"/>
          <w:sz w:val="28"/>
          <w:szCs w:val="28"/>
          <w:lang w:val="uk-UA" w:eastAsia="uk-UA" w:bidi="ar-SA"/>
        </w:rPr>
        <w:t>дев’ять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 xml:space="preserve"> кредитних договорів про відкриття кредитних ліні</w:t>
      </w:r>
      <w:r w:rsidR="00AF5394">
        <w:rPr>
          <w:rFonts w:eastAsia="HiddenHorzOCR" w:cs="Times New Roman"/>
          <w:sz w:val="28"/>
          <w:szCs w:val="28"/>
          <w:lang w:val="uk-UA" w:eastAsia="uk-UA" w:bidi="ar-SA"/>
        </w:rPr>
        <w:t>й зі строками повернення у 2014–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>2015 роках.</w:t>
      </w:r>
    </w:p>
    <w:p w:rsidR="001074DF" w:rsidRPr="001074DF" w:rsidRDefault="007F75C3" w:rsidP="00A703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  <w:r>
        <w:rPr>
          <w:rFonts w:eastAsia="HiddenHorzOCR" w:cs="Times New Roman"/>
          <w:sz w:val="28"/>
          <w:szCs w:val="28"/>
          <w:lang w:val="uk-UA" w:eastAsia="uk-UA" w:bidi="ar-SA"/>
        </w:rPr>
        <w:t>У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 xml:space="preserve"> зв’язку з неналежним виконанням позичальник</w:t>
      </w:r>
      <w:r>
        <w:rPr>
          <w:rFonts w:eastAsia="HiddenHorzOCR" w:cs="Times New Roman"/>
          <w:sz w:val="28"/>
          <w:szCs w:val="28"/>
          <w:lang w:val="uk-UA" w:eastAsia="uk-UA" w:bidi="ar-SA"/>
        </w:rPr>
        <w:t>ами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 xml:space="preserve"> зобов’язан</w:t>
      </w:r>
      <w:r>
        <w:rPr>
          <w:rFonts w:eastAsia="HiddenHorzOCR" w:cs="Times New Roman"/>
          <w:sz w:val="28"/>
          <w:szCs w:val="28"/>
          <w:lang w:val="uk-UA" w:eastAsia="uk-UA" w:bidi="ar-SA"/>
        </w:rPr>
        <w:t>ь за цими кредитними договорами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 xml:space="preserve"> Банк звернувся до суду з позовами про стягнення заборгованості.</w:t>
      </w:r>
    </w:p>
    <w:p w:rsidR="001074DF" w:rsidRDefault="007F75C3" w:rsidP="00A703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  <w:r>
        <w:rPr>
          <w:rFonts w:eastAsia="HiddenHorzOCR" w:cs="Times New Roman"/>
          <w:sz w:val="28"/>
          <w:szCs w:val="28"/>
          <w:lang w:val="uk-UA" w:eastAsia="uk-UA" w:bidi="ar-SA"/>
        </w:rPr>
        <w:lastRenderedPageBreak/>
        <w:t>У подальшому Банк вирішив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 xml:space="preserve"> відступ</w:t>
      </w:r>
      <w:r>
        <w:rPr>
          <w:rFonts w:eastAsia="HiddenHorzOCR" w:cs="Times New Roman"/>
          <w:sz w:val="28"/>
          <w:szCs w:val="28"/>
          <w:lang w:val="uk-UA" w:eastAsia="uk-UA" w:bidi="ar-SA"/>
        </w:rPr>
        <w:t>и</w:t>
      </w:r>
      <w:r w:rsidR="00AF5394">
        <w:rPr>
          <w:rFonts w:eastAsia="HiddenHorzOCR" w:cs="Times New Roman"/>
          <w:sz w:val="28"/>
          <w:szCs w:val="28"/>
          <w:lang w:val="uk-UA" w:eastAsia="uk-UA" w:bidi="ar-SA"/>
        </w:rPr>
        <w:t>ти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 xml:space="preserve"> на користь третьої особи прав</w:t>
      </w:r>
      <w:r w:rsidR="00AF5394">
        <w:rPr>
          <w:rFonts w:eastAsia="HiddenHorzOCR" w:cs="Times New Roman"/>
          <w:sz w:val="28"/>
          <w:szCs w:val="28"/>
          <w:lang w:val="uk-UA" w:eastAsia="uk-UA" w:bidi="ar-SA"/>
        </w:rPr>
        <w:t>а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 xml:space="preserve"> вимоги </w:t>
      </w:r>
      <w:r>
        <w:rPr>
          <w:rFonts w:eastAsia="HiddenHorzOCR" w:cs="Times New Roman"/>
          <w:sz w:val="28"/>
          <w:szCs w:val="28"/>
          <w:lang w:val="uk-UA" w:eastAsia="uk-UA" w:bidi="ar-SA"/>
        </w:rPr>
        <w:t xml:space="preserve">за </w:t>
      </w:r>
      <w:r w:rsidR="00AF5394">
        <w:rPr>
          <w:rFonts w:eastAsia="HiddenHorzOCR" w:cs="Times New Roman"/>
          <w:sz w:val="28"/>
          <w:szCs w:val="28"/>
          <w:lang w:val="uk-UA" w:eastAsia="uk-UA" w:bidi="ar-SA"/>
        </w:rPr>
        <w:t>зазначеними дев’ятьма</w:t>
      </w:r>
      <w:r>
        <w:rPr>
          <w:rFonts w:eastAsia="HiddenHorzOCR" w:cs="Times New Roman"/>
          <w:sz w:val="28"/>
          <w:szCs w:val="28"/>
          <w:lang w:val="uk-UA" w:eastAsia="uk-UA" w:bidi="ar-SA"/>
        </w:rPr>
        <w:t xml:space="preserve"> кредитними договорами. Так, </w:t>
      </w:r>
      <w:r w:rsidR="00A703C9">
        <w:rPr>
          <w:rFonts w:eastAsia="HiddenHorzOCR" w:cs="Times New Roman"/>
          <w:sz w:val="28"/>
          <w:szCs w:val="28"/>
          <w:lang w:val="uk-UA" w:eastAsia="uk-UA" w:bidi="ar-SA"/>
        </w:rPr>
        <w:t>22 лютого</w:t>
      </w:r>
      <w:r w:rsidR="00A703C9">
        <w:rPr>
          <w:rFonts w:eastAsia="HiddenHorzOCR" w:cs="Times New Roman"/>
          <w:sz w:val="28"/>
          <w:szCs w:val="28"/>
          <w:lang w:val="uk-UA" w:eastAsia="uk-UA" w:bidi="ar-SA"/>
        </w:rPr>
        <w:br/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 xml:space="preserve">2019 року за результатами </w:t>
      </w:r>
      <w:r>
        <w:rPr>
          <w:rFonts w:eastAsia="HiddenHorzOCR" w:cs="Times New Roman"/>
          <w:sz w:val="28"/>
          <w:szCs w:val="28"/>
          <w:lang w:val="uk-UA" w:eastAsia="uk-UA" w:bidi="ar-SA"/>
        </w:rPr>
        <w:t xml:space="preserve">проведеного 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 xml:space="preserve">конкурсу </w:t>
      </w:r>
      <w:r>
        <w:rPr>
          <w:rFonts w:eastAsia="HiddenHorzOCR" w:cs="Times New Roman"/>
          <w:sz w:val="28"/>
          <w:szCs w:val="28"/>
          <w:lang w:val="uk-UA" w:eastAsia="uk-UA" w:bidi="ar-SA"/>
        </w:rPr>
        <w:t xml:space="preserve">між 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 xml:space="preserve">Банком та </w:t>
      </w:r>
      <w:r>
        <w:rPr>
          <w:rFonts w:eastAsia="HiddenHorzOCR" w:cs="Times New Roman"/>
          <w:sz w:val="28"/>
          <w:szCs w:val="28"/>
          <w:lang w:val="uk-UA" w:eastAsia="uk-UA" w:bidi="ar-SA"/>
        </w:rPr>
        <w:t>Заявником</w:t>
      </w:r>
      <w:r w:rsidR="001074DF" w:rsidRPr="001074DF">
        <w:rPr>
          <w:rFonts w:eastAsia="HiddenHorzOCR" w:cs="Times New Roman"/>
          <w:sz w:val="28"/>
          <w:szCs w:val="28"/>
          <w:lang w:val="uk-UA" w:eastAsia="uk-UA" w:bidi="ar-SA"/>
        </w:rPr>
        <w:t xml:space="preserve"> укладено догов</w:t>
      </w:r>
      <w:r w:rsidR="0063271A">
        <w:rPr>
          <w:rFonts w:eastAsia="HiddenHorzOCR" w:cs="Times New Roman"/>
          <w:sz w:val="28"/>
          <w:szCs w:val="28"/>
          <w:lang w:val="uk-UA" w:eastAsia="uk-UA" w:bidi="ar-SA"/>
        </w:rPr>
        <w:t>ір купівлі-продажу прав</w:t>
      </w:r>
      <w:r w:rsidR="007D4B55">
        <w:rPr>
          <w:rFonts w:eastAsia="HiddenHorzOCR" w:cs="Times New Roman"/>
          <w:sz w:val="28"/>
          <w:szCs w:val="28"/>
          <w:lang w:val="uk-UA" w:eastAsia="uk-UA" w:bidi="ar-SA"/>
        </w:rPr>
        <w:t xml:space="preserve"> вимоги, відповідно до якого Заявник при</w:t>
      </w:r>
      <w:r w:rsidR="00A656A0">
        <w:rPr>
          <w:rFonts w:eastAsia="HiddenHorzOCR" w:cs="Times New Roman"/>
          <w:sz w:val="28"/>
          <w:szCs w:val="28"/>
          <w:lang w:val="uk-UA" w:eastAsia="uk-UA" w:bidi="ar-SA"/>
        </w:rPr>
        <w:t>д</w:t>
      </w:r>
      <w:r w:rsidR="007D4B55">
        <w:rPr>
          <w:rFonts w:eastAsia="HiddenHorzOCR" w:cs="Times New Roman"/>
          <w:sz w:val="28"/>
          <w:szCs w:val="28"/>
          <w:lang w:val="uk-UA" w:eastAsia="uk-UA" w:bidi="ar-SA"/>
        </w:rPr>
        <w:t>бав у Б</w:t>
      </w:r>
      <w:r w:rsidR="000972E4">
        <w:rPr>
          <w:rFonts w:eastAsia="HiddenHorzOCR" w:cs="Times New Roman"/>
          <w:sz w:val="28"/>
          <w:szCs w:val="28"/>
          <w:lang w:val="uk-UA" w:eastAsia="uk-UA" w:bidi="ar-SA"/>
        </w:rPr>
        <w:t>анку прав</w:t>
      </w:r>
      <w:r w:rsidR="0063271A">
        <w:rPr>
          <w:rFonts w:eastAsia="HiddenHorzOCR" w:cs="Times New Roman"/>
          <w:sz w:val="28"/>
          <w:szCs w:val="28"/>
          <w:lang w:val="uk-UA" w:eastAsia="uk-UA" w:bidi="ar-SA"/>
        </w:rPr>
        <w:t>а</w:t>
      </w:r>
      <w:r w:rsidR="007D4B55">
        <w:rPr>
          <w:rFonts w:eastAsia="HiddenHorzOCR" w:cs="Times New Roman"/>
          <w:sz w:val="28"/>
          <w:szCs w:val="28"/>
          <w:lang w:val="uk-UA" w:eastAsia="uk-UA" w:bidi="ar-SA"/>
        </w:rPr>
        <w:t xml:space="preserve"> вимоги до </w:t>
      </w:r>
      <w:r w:rsidR="007D4B55" w:rsidRPr="007D4B55">
        <w:rPr>
          <w:rFonts w:eastAsia="HiddenHorzOCR" w:cs="Times New Roman"/>
          <w:sz w:val="28"/>
          <w:szCs w:val="28"/>
          <w:lang w:val="uk-UA" w:eastAsia="uk-UA" w:bidi="ar-SA"/>
        </w:rPr>
        <w:t>АТ „Українська залізниця“</w:t>
      </w:r>
      <w:r w:rsidR="000972E4">
        <w:rPr>
          <w:rFonts w:eastAsia="HiddenHorzOCR" w:cs="Times New Roman"/>
          <w:sz w:val="28"/>
          <w:szCs w:val="28"/>
          <w:lang w:val="uk-UA" w:eastAsia="uk-UA" w:bidi="ar-SA"/>
        </w:rPr>
        <w:t xml:space="preserve"> за </w:t>
      </w:r>
      <w:r w:rsidR="00AF5394">
        <w:rPr>
          <w:rFonts w:eastAsia="HiddenHorzOCR" w:cs="Times New Roman"/>
          <w:sz w:val="28"/>
          <w:szCs w:val="28"/>
          <w:lang w:val="uk-UA" w:eastAsia="uk-UA" w:bidi="ar-SA"/>
        </w:rPr>
        <w:t>дев’ятьма</w:t>
      </w:r>
      <w:r w:rsidR="000972E4">
        <w:rPr>
          <w:rFonts w:eastAsia="HiddenHorzOCR" w:cs="Times New Roman"/>
          <w:sz w:val="28"/>
          <w:szCs w:val="28"/>
          <w:lang w:val="uk-UA" w:eastAsia="uk-UA" w:bidi="ar-SA"/>
        </w:rPr>
        <w:t xml:space="preserve"> кредитними договорами за ціною, нижчою від </w:t>
      </w:r>
      <w:r w:rsidR="0063271A">
        <w:rPr>
          <w:rFonts w:eastAsia="HiddenHorzOCR" w:cs="Times New Roman"/>
          <w:sz w:val="28"/>
          <w:szCs w:val="28"/>
          <w:lang w:val="uk-UA" w:eastAsia="uk-UA" w:bidi="ar-SA"/>
        </w:rPr>
        <w:t>розміру заборгованості, права вимоги на стягнення якої Заявник набув.</w:t>
      </w:r>
    </w:p>
    <w:p w:rsidR="001074DF" w:rsidRDefault="001074DF" w:rsidP="00A703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</w:p>
    <w:p w:rsidR="001074DF" w:rsidRDefault="000972E4" w:rsidP="00A703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  <w:r>
        <w:rPr>
          <w:rFonts w:eastAsia="HiddenHorzOCR" w:cs="Times New Roman"/>
          <w:sz w:val="28"/>
          <w:szCs w:val="28"/>
          <w:lang w:val="uk-UA" w:eastAsia="uk-UA" w:bidi="ar-SA"/>
        </w:rPr>
        <w:t xml:space="preserve">2.2. </w:t>
      </w:r>
      <w:r w:rsidR="0063271A" w:rsidRPr="0063271A">
        <w:rPr>
          <w:rFonts w:eastAsia="HiddenHorzOCR" w:cs="Times New Roman"/>
          <w:sz w:val="28"/>
          <w:szCs w:val="28"/>
          <w:lang w:val="uk-UA" w:eastAsia="uk-UA" w:bidi="ar-SA"/>
        </w:rPr>
        <w:t>АТ „Українська залізниця“</w:t>
      </w:r>
      <w:r w:rsidR="0063271A">
        <w:rPr>
          <w:rFonts w:eastAsia="HiddenHorzOCR" w:cs="Times New Roman"/>
          <w:sz w:val="28"/>
          <w:szCs w:val="28"/>
          <w:lang w:val="uk-UA" w:eastAsia="uk-UA" w:bidi="ar-SA"/>
        </w:rPr>
        <w:t xml:space="preserve"> звернулось до суду з позовом про визнання недійсним зазначеного </w:t>
      </w:r>
      <w:r w:rsidR="0063271A" w:rsidRPr="0063271A">
        <w:rPr>
          <w:rFonts w:eastAsia="HiddenHorzOCR" w:cs="Times New Roman"/>
          <w:sz w:val="28"/>
          <w:szCs w:val="28"/>
          <w:lang w:val="uk-UA" w:eastAsia="uk-UA" w:bidi="ar-SA"/>
        </w:rPr>
        <w:t>догов</w:t>
      </w:r>
      <w:r w:rsidR="0063271A">
        <w:rPr>
          <w:rFonts w:eastAsia="HiddenHorzOCR" w:cs="Times New Roman"/>
          <w:sz w:val="28"/>
          <w:szCs w:val="28"/>
          <w:lang w:val="uk-UA" w:eastAsia="uk-UA" w:bidi="ar-SA"/>
        </w:rPr>
        <w:t>ору</w:t>
      </w:r>
      <w:r w:rsidR="0063271A" w:rsidRPr="0063271A">
        <w:rPr>
          <w:rFonts w:eastAsia="HiddenHorzOCR" w:cs="Times New Roman"/>
          <w:sz w:val="28"/>
          <w:szCs w:val="28"/>
          <w:lang w:val="uk-UA" w:eastAsia="uk-UA" w:bidi="ar-SA"/>
        </w:rPr>
        <w:t xml:space="preserve"> купівлі-продажу прав вимоги</w:t>
      </w:r>
      <w:r w:rsidR="0063271A">
        <w:rPr>
          <w:rFonts w:eastAsia="HiddenHorzOCR" w:cs="Times New Roman"/>
          <w:sz w:val="28"/>
          <w:szCs w:val="28"/>
          <w:lang w:val="uk-UA" w:eastAsia="uk-UA" w:bidi="ar-SA"/>
        </w:rPr>
        <w:t>, мотивуючи це тим, що Банк та</w:t>
      </w:r>
      <w:r w:rsidR="000C335E">
        <w:rPr>
          <w:rFonts w:eastAsia="HiddenHorzOCR" w:cs="Times New Roman"/>
          <w:sz w:val="28"/>
          <w:szCs w:val="28"/>
          <w:lang w:val="uk-UA" w:eastAsia="uk-UA" w:bidi="ar-SA"/>
        </w:rPr>
        <w:t xml:space="preserve"> Заявник уклали удаваний договір</w:t>
      </w:r>
      <w:r w:rsidR="0063271A">
        <w:rPr>
          <w:rFonts w:eastAsia="HiddenHorzOCR" w:cs="Times New Roman"/>
          <w:sz w:val="28"/>
          <w:szCs w:val="28"/>
          <w:lang w:val="uk-UA" w:eastAsia="uk-UA" w:bidi="ar-SA"/>
        </w:rPr>
        <w:t xml:space="preserve"> купівлі-продажу прав вимоги з метою прихова</w:t>
      </w:r>
      <w:r w:rsidR="009B2084">
        <w:rPr>
          <w:rFonts w:eastAsia="HiddenHorzOCR" w:cs="Times New Roman"/>
          <w:sz w:val="28"/>
          <w:szCs w:val="28"/>
          <w:lang w:val="uk-UA" w:eastAsia="uk-UA" w:bidi="ar-SA"/>
        </w:rPr>
        <w:t>ти</w:t>
      </w:r>
      <w:r w:rsidR="0063271A">
        <w:rPr>
          <w:rFonts w:eastAsia="HiddenHorzOCR" w:cs="Times New Roman"/>
          <w:sz w:val="28"/>
          <w:szCs w:val="28"/>
          <w:lang w:val="uk-UA" w:eastAsia="uk-UA" w:bidi="ar-SA"/>
        </w:rPr>
        <w:t xml:space="preserve"> укладення договору факторингу, який З</w:t>
      </w:r>
      <w:r w:rsidR="000C335E">
        <w:rPr>
          <w:rFonts w:eastAsia="HiddenHorzOCR" w:cs="Times New Roman"/>
          <w:sz w:val="28"/>
          <w:szCs w:val="28"/>
          <w:lang w:val="uk-UA" w:eastAsia="uk-UA" w:bidi="ar-SA"/>
        </w:rPr>
        <w:t>аявник</w:t>
      </w:r>
      <w:r w:rsidR="00226012">
        <w:rPr>
          <w:rFonts w:eastAsia="HiddenHorzOCR" w:cs="Times New Roman"/>
          <w:sz w:val="28"/>
          <w:szCs w:val="28"/>
          <w:lang w:val="uk-UA" w:eastAsia="uk-UA" w:bidi="ar-SA"/>
        </w:rPr>
        <w:t xml:space="preserve"> укла</w:t>
      </w:r>
      <w:r w:rsidR="000C335E">
        <w:rPr>
          <w:rFonts w:eastAsia="HiddenHorzOCR" w:cs="Times New Roman"/>
          <w:sz w:val="28"/>
          <w:szCs w:val="28"/>
          <w:lang w:val="uk-UA" w:eastAsia="uk-UA" w:bidi="ar-SA"/>
        </w:rPr>
        <w:t>сти</w:t>
      </w:r>
      <w:r w:rsidR="00226012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="0063271A">
        <w:rPr>
          <w:rFonts w:eastAsia="HiddenHorzOCR" w:cs="Times New Roman"/>
          <w:sz w:val="28"/>
          <w:szCs w:val="28"/>
          <w:lang w:val="uk-UA" w:eastAsia="uk-UA" w:bidi="ar-SA"/>
        </w:rPr>
        <w:t>не м</w:t>
      </w:r>
      <w:r w:rsidR="000C335E">
        <w:rPr>
          <w:rFonts w:eastAsia="HiddenHorzOCR" w:cs="Times New Roman"/>
          <w:sz w:val="28"/>
          <w:szCs w:val="28"/>
          <w:lang w:val="uk-UA" w:eastAsia="uk-UA" w:bidi="ar-SA"/>
        </w:rPr>
        <w:t>іг</w:t>
      </w:r>
      <w:r w:rsidR="0063271A">
        <w:rPr>
          <w:rFonts w:eastAsia="HiddenHorzOCR" w:cs="Times New Roman"/>
          <w:sz w:val="28"/>
          <w:szCs w:val="28"/>
          <w:lang w:val="uk-UA" w:eastAsia="uk-UA" w:bidi="ar-SA"/>
        </w:rPr>
        <w:t xml:space="preserve">, </w:t>
      </w:r>
      <w:r w:rsidR="00226012">
        <w:rPr>
          <w:rFonts w:eastAsia="HiddenHorzOCR" w:cs="Times New Roman"/>
          <w:sz w:val="28"/>
          <w:szCs w:val="28"/>
          <w:lang w:val="uk-UA" w:eastAsia="uk-UA" w:bidi="ar-SA"/>
        </w:rPr>
        <w:t>оскільки</w:t>
      </w:r>
      <w:r w:rsidR="0063271A">
        <w:rPr>
          <w:rFonts w:eastAsia="HiddenHorzOCR" w:cs="Times New Roman"/>
          <w:sz w:val="28"/>
          <w:szCs w:val="28"/>
          <w:lang w:val="uk-UA" w:eastAsia="uk-UA" w:bidi="ar-SA"/>
        </w:rPr>
        <w:t xml:space="preserve"> не належ</w:t>
      </w:r>
      <w:r w:rsidR="000C335E">
        <w:rPr>
          <w:rFonts w:eastAsia="HiddenHorzOCR" w:cs="Times New Roman"/>
          <w:sz w:val="28"/>
          <w:szCs w:val="28"/>
          <w:lang w:val="uk-UA" w:eastAsia="uk-UA" w:bidi="ar-SA"/>
        </w:rPr>
        <w:t>ав</w:t>
      </w:r>
      <w:r w:rsidR="0063271A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="00226012">
        <w:rPr>
          <w:rFonts w:eastAsia="HiddenHorzOCR" w:cs="Times New Roman"/>
          <w:sz w:val="28"/>
          <w:szCs w:val="28"/>
          <w:lang w:val="uk-UA" w:eastAsia="uk-UA" w:bidi="ar-SA"/>
        </w:rPr>
        <w:t>до фінансових установ</w:t>
      </w:r>
      <w:r w:rsidR="001B37D2">
        <w:rPr>
          <w:rFonts w:eastAsia="HiddenHorzOCR" w:cs="Times New Roman"/>
          <w:sz w:val="28"/>
          <w:szCs w:val="28"/>
          <w:lang w:val="uk-UA" w:eastAsia="uk-UA" w:bidi="ar-SA"/>
        </w:rPr>
        <w:t xml:space="preserve">, </w:t>
      </w:r>
      <w:r w:rsidR="00226012" w:rsidRPr="00226012">
        <w:rPr>
          <w:rFonts w:eastAsia="HiddenHorzOCR" w:cs="Times New Roman"/>
          <w:sz w:val="28"/>
          <w:szCs w:val="28"/>
          <w:lang w:val="uk-UA" w:eastAsia="uk-UA" w:bidi="ar-SA"/>
        </w:rPr>
        <w:t>як</w:t>
      </w:r>
      <w:r w:rsidR="00226012">
        <w:rPr>
          <w:rFonts w:eastAsia="HiddenHorzOCR" w:cs="Times New Roman"/>
          <w:sz w:val="28"/>
          <w:szCs w:val="28"/>
          <w:lang w:val="uk-UA" w:eastAsia="uk-UA" w:bidi="ar-SA"/>
        </w:rPr>
        <w:t>і відповідно до закону мають</w:t>
      </w:r>
      <w:r w:rsidR="00226012" w:rsidRPr="00226012">
        <w:rPr>
          <w:rFonts w:eastAsia="HiddenHorzOCR" w:cs="Times New Roman"/>
          <w:sz w:val="28"/>
          <w:szCs w:val="28"/>
          <w:lang w:val="uk-UA" w:eastAsia="uk-UA" w:bidi="ar-SA"/>
        </w:rPr>
        <w:t xml:space="preserve"> право здійснювати факторингові операції.</w:t>
      </w:r>
    </w:p>
    <w:p w:rsidR="001074DF" w:rsidRDefault="001B37D2" w:rsidP="00A703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  <w:r>
        <w:rPr>
          <w:rFonts w:eastAsia="HiddenHorzOCR" w:cs="Times New Roman"/>
          <w:sz w:val="28"/>
          <w:szCs w:val="28"/>
          <w:lang w:val="uk-UA" w:eastAsia="uk-UA" w:bidi="ar-SA"/>
        </w:rPr>
        <w:t>Господарський суд міста Києва рішенням від 27 липня 2021 року відмовив у задоволенн</w:t>
      </w:r>
      <w:r w:rsidR="00202B90">
        <w:rPr>
          <w:rFonts w:eastAsia="HiddenHorzOCR" w:cs="Times New Roman"/>
          <w:sz w:val="28"/>
          <w:szCs w:val="28"/>
          <w:lang w:val="uk-UA" w:eastAsia="uk-UA" w:bidi="ar-SA"/>
        </w:rPr>
        <w:t>і</w:t>
      </w:r>
      <w:r>
        <w:rPr>
          <w:rFonts w:eastAsia="HiddenHorzOCR" w:cs="Times New Roman"/>
          <w:sz w:val="28"/>
          <w:szCs w:val="28"/>
          <w:lang w:val="uk-UA" w:eastAsia="uk-UA" w:bidi="ar-SA"/>
        </w:rPr>
        <w:t xml:space="preserve"> позовних вимог </w:t>
      </w:r>
      <w:r w:rsidRPr="0063271A">
        <w:rPr>
          <w:rFonts w:eastAsia="HiddenHorzOCR" w:cs="Times New Roman"/>
          <w:sz w:val="28"/>
          <w:szCs w:val="28"/>
          <w:lang w:val="uk-UA" w:eastAsia="uk-UA" w:bidi="ar-SA"/>
        </w:rPr>
        <w:t>АТ „Українська залізниця“</w:t>
      </w:r>
      <w:r>
        <w:rPr>
          <w:rFonts w:eastAsia="HiddenHorzOCR" w:cs="Times New Roman"/>
          <w:sz w:val="28"/>
          <w:szCs w:val="28"/>
          <w:lang w:val="uk-UA" w:eastAsia="uk-UA" w:bidi="ar-SA"/>
        </w:rPr>
        <w:t>.</w:t>
      </w:r>
    </w:p>
    <w:p w:rsidR="001B37D2" w:rsidRDefault="001B37D2" w:rsidP="00A703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</w:p>
    <w:p w:rsidR="00951F5C" w:rsidRDefault="001B37D2" w:rsidP="00A703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  <w:r>
        <w:rPr>
          <w:rFonts w:eastAsia="HiddenHorzOCR" w:cs="Times New Roman"/>
          <w:sz w:val="28"/>
          <w:szCs w:val="28"/>
          <w:lang w:val="uk-UA" w:eastAsia="uk-UA" w:bidi="ar-SA"/>
        </w:rPr>
        <w:t>2.3. Північний апеляційний господарський суд</w:t>
      </w:r>
      <w:r w:rsidR="00CA35EA" w:rsidRPr="00DF592C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>
        <w:rPr>
          <w:rFonts w:eastAsia="HiddenHorzOCR" w:cs="Times New Roman"/>
          <w:sz w:val="28"/>
          <w:szCs w:val="28"/>
          <w:lang w:val="uk-UA" w:eastAsia="uk-UA" w:bidi="ar-SA"/>
        </w:rPr>
        <w:t>постановою</w:t>
      </w:r>
      <w:r w:rsidR="00CA35EA" w:rsidRPr="00DF592C">
        <w:rPr>
          <w:rFonts w:eastAsia="HiddenHorzOCR" w:cs="Times New Roman"/>
          <w:sz w:val="28"/>
          <w:szCs w:val="28"/>
          <w:lang w:val="uk-UA" w:eastAsia="uk-UA" w:bidi="ar-SA"/>
        </w:rPr>
        <w:t xml:space="preserve"> від 1</w:t>
      </w:r>
      <w:r>
        <w:rPr>
          <w:rFonts w:eastAsia="HiddenHorzOCR" w:cs="Times New Roman"/>
          <w:sz w:val="28"/>
          <w:szCs w:val="28"/>
          <w:lang w:val="uk-UA" w:eastAsia="uk-UA" w:bidi="ar-SA"/>
        </w:rPr>
        <w:t>6</w:t>
      </w:r>
      <w:r w:rsidR="00CA35EA" w:rsidRPr="00DF592C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>
        <w:rPr>
          <w:rFonts w:eastAsia="HiddenHorzOCR" w:cs="Times New Roman"/>
          <w:sz w:val="28"/>
          <w:szCs w:val="28"/>
          <w:lang w:val="uk-UA" w:eastAsia="uk-UA" w:bidi="ar-SA"/>
        </w:rPr>
        <w:t>вересня</w:t>
      </w:r>
      <w:r w:rsidR="00CA35EA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>
        <w:rPr>
          <w:rFonts w:eastAsia="HiddenHorzOCR" w:cs="Times New Roman"/>
          <w:sz w:val="28"/>
          <w:szCs w:val="28"/>
          <w:lang w:val="uk-UA" w:eastAsia="uk-UA" w:bidi="ar-SA"/>
        </w:rPr>
        <w:t>2021</w:t>
      </w:r>
      <w:r w:rsidR="00CA35EA" w:rsidRPr="00DF592C">
        <w:rPr>
          <w:rFonts w:eastAsia="HiddenHorzOCR" w:cs="Times New Roman"/>
          <w:sz w:val="28"/>
          <w:szCs w:val="28"/>
          <w:lang w:val="uk-UA" w:eastAsia="uk-UA" w:bidi="ar-SA"/>
        </w:rPr>
        <w:t xml:space="preserve"> року</w:t>
      </w:r>
      <w:r w:rsidR="002808DC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="00CA35EA" w:rsidRPr="00DF592C">
        <w:rPr>
          <w:rFonts w:eastAsia="HiddenHorzOCR" w:cs="Times New Roman"/>
          <w:sz w:val="28"/>
          <w:szCs w:val="28"/>
          <w:lang w:val="uk-UA" w:eastAsia="uk-UA" w:bidi="ar-SA"/>
        </w:rPr>
        <w:t>задовол</w:t>
      </w:r>
      <w:r w:rsidR="002808DC">
        <w:rPr>
          <w:rFonts w:eastAsia="HiddenHorzOCR" w:cs="Times New Roman"/>
          <w:sz w:val="28"/>
          <w:szCs w:val="28"/>
          <w:lang w:val="uk-UA" w:eastAsia="uk-UA" w:bidi="ar-SA"/>
        </w:rPr>
        <w:t xml:space="preserve">ьнив апеляційну скаргу </w:t>
      </w:r>
      <w:r w:rsidR="002808DC" w:rsidRPr="002808DC">
        <w:rPr>
          <w:rFonts w:eastAsia="HiddenHorzOCR" w:cs="Times New Roman"/>
          <w:sz w:val="28"/>
          <w:szCs w:val="28"/>
          <w:lang w:val="uk-UA" w:eastAsia="uk-UA" w:bidi="ar-SA"/>
        </w:rPr>
        <w:t>АТ „Українська залізниця“</w:t>
      </w:r>
      <w:r w:rsidR="002808DC">
        <w:rPr>
          <w:rFonts w:eastAsia="HiddenHorzOCR" w:cs="Times New Roman"/>
          <w:sz w:val="28"/>
          <w:szCs w:val="28"/>
          <w:lang w:val="uk-UA" w:eastAsia="uk-UA" w:bidi="ar-SA"/>
        </w:rPr>
        <w:t xml:space="preserve">: 1) рішення Господарського суду міста Києва від 27 липня 2021 року скасував; 2) ухвалив рішення про задоволення позовних вимог; 3) визнав недійсним </w:t>
      </w:r>
      <w:r w:rsidR="00202B90">
        <w:rPr>
          <w:rFonts w:eastAsia="HiddenHorzOCR" w:cs="Times New Roman"/>
          <w:sz w:val="28"/>
          <w:szCs w:val="28"/>
          <w:lang w:val="uk-UA" w:eastAsia="uk-UA" w:bidi="ar-SA"/>
        </w:rPr>
        <w:t>договір</w:t>
      </w:r>
      <w:r w:rsidR="00A703C9">
        <w:rPr>
          <w:rFonts w:eastAsia="HiddenHorzOCR" w:cs="Times New Roman"/>
          <w:sz w:val="28"/>
          <w:szCs w:val="28"/>
          <w:lang w:val="uk-UA" w:eastAsia="uk-UA" w:bidi="ar-SA"/>
        </w:rPr>
        <w:br/>
      </w:r>
      <w:r w:rsidR="00202B90">
        <w:rPr>
          <w:rFonts w:eastAsia="HiddenHorzOCR" w:cs="Times New Roman"/>
          <w:sz w:val="28"/>
          <w:szCs w:val="28"/>
          <w:lang w:val="uk-UA" w:eastAsia="uk-UA" w:bidi="ar-SA"/>
        </w:rPr>
        <w:t>купівлі-</w:t>
      </w:r>
      <w:r w:rsidR="002808DC">
        <w:rPr>
          <w:rFonts w:eastAsia="HiddenHorzOCR" w:cs="Times New Roman"/>
          <w:sz w:val="28"/>
          <w:szCs w:val="28"/>
          <w:lang w:val="uk-UA" w:eastAsia="uk-UA" w:bidi="ar-SA"/>
        </w:rPr>
        <w:t xml:space="preserve">продажу прав вимоги </w:t>
      </w:r>
      <w:r w:rsidR="00202B90">
        <w:rPr>
          <w:rFonts w:eastAsia="HiddenHorzOCR" w:cs="Times New Roman"/>
          <w:sz w:val="28"/>
          <w:szCs w:val="28"/>
          <w:lang w:val="uk-UA" w:eastAsia="uk-UA" w:bidi="ar-SA"/>
        </w:rPr>
        <w:t>від 22 лютого 2019 року</w:t>
      </w:r>
      <w:r w:rsidR="00CA35EA" w:rsidRPr="00DF592C">
        <w:rPr>
          <w:rFonts w:eastAsia="HiddenHorzOCR" w:cs="Times New Roman"/>
          <w:sz w:val="28"/>
          <w:szCs w:val="28"/>
          <w:lang w:val="uk-UA" w:eastAsia="uk-UA" w:bidi="ar-SA"/>
        </w:rPr>
        <w:t>.</w:t>
      </w:r>
    </w:p>
    <w:p w:rsidR="00CA35EA" w:rsidRDefault="00CA35EA" w:rsidP="00A703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</w:p>
    <w:p w:rsidR="00CA35EA" w:rsidRDefault="00CA35EA" w:rsidP="00A703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7FD0">
        <w:rPr>
          <w:rFonts w:eastAsia="HiddenHorzOCR" w:cs="Times New Roman"/>
          <w:sz w:val="28"/>
          <w:szCs w:val="28"/>
          <w:lang w:val="uk-UA" w:eastAsia="uk-UA" w:bidi="ar-SA"/>
        </w:rPr>
        <w:t>2.</w:t>
      </w:r>
      <w:r w:rsidR="00202B90">
        <w:rPr>
          <w:rFonts w:eastAsia="HiddenHorzOCR" w:cs="Times New Roman"/>
          <w:sz w:val="28"/>
          <w:szCs w:val="28"/>
          <w:lang w:val="uk-UA" w:eastAsia="uk-UA" w:bidi="ar-SA"/>
        </w:rPr>
        <w:t>4</w:t>
      </w:r>
      <w:r w:rsidRPr="005C7FD0">
        <w:rPr>
          <w:rFonts w:eastAsia="HiddenHorzOCR" w:cs="Times New Roman"/>
          <w:sz w:val="28"/>
          <w:szCs w:val="28"/>
          <w:lang w:val="uk-UA" w:eastAsia="uk-UA" w:bidi="ar-SA"/>
        </w:rPr>
        <w:t xml:space="preserve">. Верховний </w:t>
      </w:r>
      <w:r>
        <w:rPr>
          <w:rFonts w:eastAsia="HiddenHorzOCR" w:cs="Times New Roman"/>
          <w:sz w:val="28"/>
          <w:szCs w:val="28"/>
          <w:lang w:val="uk-UA" w:eastAsia="uk-UA" w:bidi="ar-SA"/>
        </w:rPr>
        <w:t>Суд</w:t>
      </w:r>
      <w:r w:rsidRPr="005C7FD0">
        <w:rPr>
          <w:rFonts w:eastAsia="HiddenHorzOCR" w:cs="Times New Roman"/>
          <w:sz w:val="28"/>
          <w:szCs w:val="28"/>
          <w:lang w:val="uk-UA" w:eastAsia="uk-UA" w:bidi="ar-SA"/>
        </w:rPr>
        <w:t xml:space="preserve"> у складі колегії суддів Касаційного </w:t>
      </w:r>
      <w:r w:rsidR="0087743C">
        <w:rPr>
          <w:rFonts w:eastAsia="HiddenHorzOCR" w:cs="Times New Roman"/>
          <w:sz w:val="28"/>
          <w:szCs w:val="28"/>
          <w:lang w:val="uk-UA" w:eastAsia="uk-UA" w:bidi="ar-SA"/>
        </w:rPr>
        <w:t>господарського</w:t>
      </w:r>
      <w:r w:rsidRPr="005C7FD0">
        <w:rPr>
          <w:rFonts w:eastAsia="HiddenHorzOCR" w:cs="Times New Roman"/>
          <w:sz w:val="28"/>
          <w:szCs w:val="28"/>
          <w:lang w:val="uk-UA" w:eastAsia="uk-UA" w:bidi="ar-SA"/>
        </w:rPr>
        <w:t xml:space="preserve"> суду </w:t>
      </w:r>
      <w:r w:rsidR="0087743C">
        <w:rPr>
          <w:rFonts w:eastAsia="HiddenHorzOCR" w:cs="Times New Roman"/>
          <w:sz w:val="28"/>
          <w:szCs w:val="28"/>
          <w:lang w:val="uk-UA" w:eastAsia="uk-UA" w:bidi="ar-SA"/>
        </w:rPr>
        <w:t>постановою</w:t>
      </w:r>
      <w:r w:rsidRPr="005C7FD0">
        <w:rPr>
          <w:rFonts w:eastAsia="HiddenHorzOCR" w:cs="Times New Roman"/>
          <w:sz w:val="28"/>
          <w:szCs w:val="28"/>
          <w:lang w:val="uk-UA" w:eastAsia="uk-UA" w:bidi="ar-SA"/>
        </w:rPr>
        <w:t xml:space="preserve"> від </w:t>
      </w:r>
      <w:r w:rsidR="0087743C">
        <w:rPr>
          <w:rFonts w:eastAsia="HiddenHorzOCR" w:cs="Times New Roman"/>
          <w:sz w:val="28"/>
          <w:szCs w:val="28"/>
          <w:lang w:val="uk-UA" w:eastAsia="uk-UA" w:bidi="ar-SA"/>
        </w:rPr>
        <w:t>21</w:t>
      </w:r>
      <w:r w:rsidRPr="005C7FD0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="0087743C">
        <w:rPr>
          <w:rFonts w:eastAsia="HiddenHorzOCR" w:cs="Times New Roman"/>
          <w:sz w:val="28"/>
          <w:szCs w:val="28"/>
          <w:lang w:val="uk-UA" w:eastAsia="uk-UA" w:bidi="ar-SA"/>
        </w:rPr>
        <w:t>грудня</w:t>
      </w:r>
      <w:r w:rsidRPr="005C7FD0">
        <w:rPr>
          <w:rFonts w:eastAsia="HiddenHorzOCR" w:cs="Times New Roman"/>
          <w:sz w:val="28"/>
          <w:szCs w:val="28"/>
          <w:lang w:val="uk-UA" w:eastAsia="uk-UA" w:bidi="ar-SA"/>
        </w:rPr>
        <w:t xml:space="preserve"> 202</w:t>
      </w:r>
      <w:r w:rsidR="0087743C">
        <w:rPr>
          <w:rFonts w:eastAsia="HiddenHorzOCR" w:cs="Times New Roman"/>
          <w:sz w:val="28"/>
          <w:szCs w:val="28"/>
          <w:lang w:val="uk-UA" w:eastAsia="uk-UA" w:bidi="ar-SA"/>
        </w:rPr>
        <w:t>1 року, яка є остаточним судовим рішенням у справі Заявника,</w:t>
      </w:r>
      <w:r w:rsidRPr="005C7FD0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="0087743C">
        <w:rPr>
          <w:rFonts w:eastAsia="HiddenHorzOCR" w:cs="Times New Roman"/>
          <w:sz w:val="28"/>
          <w:szCs w:val="28"/>
          <w:lang w:val="uk-UA" w:eastAsia="uk-UA" w:bidi="ar-SA"/>
        </w:rPr>
        <w:t>касаційну скарг</w:t>
      </w:r>
      <w:r w:rsidR="00A656A0">
        <w:rPr>
          <w:rFonts w:eastAsia="HiddenHorzOCR" w:cs="Times New Roman"/>
          <w:sz w:val="28"/>
          <w:szCs w:val="28"/>
          <w:lang w:val="uk-UA" w:eastAsia="uk-UA" w:bidi="ar-SA"/>
        </w:rPr>
        <w:t>у</w:t>
      </w:r>
      <w:r w:rsidR="0087743C">
        <w:rPr>
          <w:rFonts w:eastAsia="HiddenHorzOCR" w:cs="Times New Roman"/>
          <w:sz w:val="28"/>
          <w:szCs w:val="28"/>
          <w:lang w:val="uk-UA" w:eastAsia="uk-UA" w:bidi="ar-SA"/>
        </w:rPr>
        <w:t xml:space="preserve"> Заявника залишив без задоволення, а постанову Північного апеляційного гос</w:t>
      </w:r>
      <w:r w:rsidR="00A703C9">
        <w:rPr>
          <w:rFonts w:eastAsia="HiddenHorzOCR" w:cs="Times New Roman"/>
          <w:sz w:val="28"/>
          <w:szCs w:val="28"/>
          <w:lang w:val="uk-UA" w:eastAsia="uk-UA" w:bidi="ar-SA"/>
        </w:rPr>
        <w:t>подарського суду від 16 вересня</w:t>
      </w:r>
      <w:r w:rsidR="00A703C9">
        <w:rPr>
          <w:rFonts w:eastAsia="HiddenHorzOCR" w:cs="Times New Roman"/>
          <w:sz w:val="28"/>
          <w:szCs w:val="28"/>
          <w:lang w:val="uk-UA" w:eastAsia="uk-UA" w:bidi="ar-SA"/>
        </w:rPr>
        <w:br/>
      </w:r>
      <w:r w:rsidR="0087743C">
        <w:rPr>
          <w:rFonts w:eastAsia="HiddenHorzOCR" w:cs="Times New Roman"/>
          <w:sz w:val="28"/>
          <w:szCs w:val="28"/>
          <w:lang w:val="uk-UA" w:eastAsia="uk-UA" w:bidi="ar-SA"/>
        </w:rPr>
        <w:t>2021</w:t>
      </w:r>
      <w:r w:rsidR="00A703C9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="0087743C">
        <w:rPr>
          <w:rFonts w:eastAsia="HiddenHorzOCR" w:cs="Times New Roman"/>
          <w:sz w:val="28"/>
          <w:szCs w:val="28"/>
          <w:lang w:val="uk-UA" w:eastAsia="uk-UA" w:bidi="ar-SA"/>
        </w:rPr>
        <w:t>року – без змін</w:t>
      </w:r>
      <w:r w:rsidRPr="00827D6A">
        <w:rPr>
          <w:sz w:val="28"/>
          <w:szCs w:val="28"/>
          <w:lang w:val="uk-UA"/>
        </w:rPr>
        <w:t>.</w:t>
      </w:r>
    </w:p>
    <w:p w:rsidR="00DC7F85" w:rsidRDefault="00DC7F85" w:rsidP="00A703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Суд касаційної інстанції погодився з висновками суду апеляційної інстанції та зазначив, що </w:t>
      </w:r>
      <w:r w:rsidR="000C335E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оплата клієнтом (ПАТ „Промінвестбанк“) послуги </w:t>
      </w:r>
      <w:r>
        <w:rPr>
          <w:sz w:val="28"/>
          <w:szCs w:val="28"/>
          <w:lang w:val="uk-UA"/>
        </w:rPr>
        <w:lastRenderedPageBreak/>
        <w:t xml:space="preserve">фінансування фактора (ВІЕР Глобал Партнерс Л.П.) відбулась шляхом </w:t>
      </w:r>
      <w:r w:rsidR="0047291A">
        <w:rPr>
          <w:sz w:val="28"/>
          <w:szCs w:val="28"/>
          <w:lang w:val="uk-UA"/>
        </w:rPr>
        <w:t>дисконтування</w:t>
      </w:r>
      <w:r>
        <w:rPr>
          <w:sz w:val="28"/>
          <w:szCs w:val="28"/>
          <w:lang w:val="uk-UA"/>
        </w:rPr>
        <w:t xml:space="preserve"> у</w:t>
      </w:r>
      <w:r w:rsidR="0047291A">
        <w:rPr>
          <w:sz w:val="28"/>
          <w:szCs w:val="28"/>
          <w:lang w:val="uk-UA"/>
        </w:rPr>
        <w:t xml:space="preserve"> вигляді різниці між номінальною</w:t>
      </w:r>
      <w:r>
        <w:rPr>
          <w:sz w:val="28"/>
          <w:szCs w:val="28"/>
          <w:lang w:val="uk-UA"/>
        </w:rPr>
        <w:t xml:space="preserve"> вартістю </w:t>
      </w:r>
      <w:r w:rsidR="0047291A">
        <w:rPr>
          <w:sz w:val="28"/>
          <w:szCs w:val="28"/>
          <w:lang w:val="uk-UA"/>
        </w:rPr>
        <w:t>вимоги</w:t>
      </w:r>
      <w:r>
        <w:rPr>
          <w:sz w:val="28"/>
          <w:szCs w:val="28"/>
          <w:lang w:val="uk-UA"/>
        </w:rPr>
        <w:t>, зазначеної в оспорюваному Договору,</w:t>
      </w:r>
      <w:r w:rsidR="0047291A">
        <w:rPr>
          <w:sz w:val="28"/>
          <w:szCs w:val="28"/>
          <w:lang w:val="uk-UA"/>
        </w:rPr>
        <w:t xml:space="preserve"> та її сплаченою вартістю</w:t>
      </w:r>
      <w:r w:rsidR="000C335E">
        <w:rPr>
          <w:sz w:val="28"/>
          <w:szCs w:val="28"/>
          <w:lang w:val="uk-UA"/>
        </w:rPr>
        <w:t>»</w:t>
      </w:r>
      <w:r w:rsidR="0047291A">
        <w:rPr>
          <w:sz w:val="28"/>
          <w:szCs w:val="28"/>
          <w:lang w:val="uk-UA"/>
        </w:rPr>
        <w:t>.</w:t>
      </w:r>
    </w:p>
    <w:p w:rsidR="0047291A" w:rsidRDefault="00CA35EA" w:rsidP="00A703C9">
      <w:pPr>
        <w:pStyle w:val="a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DA6F74">
        <w:rPr>
          <w:sz w:val="28"/>
          <w:szCs w:val="28"/>
        </w:rPr>
        <w:t>Заявник стверджує, що</w:t>
      </w:r>
      <w:r w:rsidR="0047291A">
        <w:rPr>
          <w:sz w:val="28"/>
          <w:szCs w:val="28"/>
        </w:rPr>
        <w:t xml:space="preserve"> „</w:t>
      </w:r>
      <w:r w:rsidR="0047291A" w:rsidRPr="0047291A">
        <w:rPr>
          <w:sz w:val="28"/>
          <w:szCs w:val="28"/>
        </w:rPr>
        <w:t>таке застосування ст. 1077 ЦК України призводить до того, що всі без винятку</w:t>
      </w:r>
      <w:r w:rsidR="0047291A">
        <w:rPr>
          <w:sz w:val="28"/>
          <w:szCs w:val="28"/>
        </w:rPr>
        <w:t xml:space="preserve"> </w:t>
      </w:r>
      <w:r w:rsidR="0047291A" w:rsidRPr="0047291A">
        <w:rPr>
          <w:sz w:val="28"/>
          <w:szCs w:val="28"/>
        </w:rPr>
        <w:t>договори купівлі-продажу права вимоги, за якими право вимоги відступається з</w:t>
      </w:r>
      <w:r w:rsidR="0047291A">
        <w:rPr>
          <w:sz w:val="28"/>
          <w:szCs w:val="28"/>
        </w:rPr>
        <w:t xml:space="preserve"> </w:t>
      </w:r>
      <w:r w:rsidR="0047291A" w:rsidRPr="0047291A">
        <w:rPr>
          <w:sz w:val="28"/>
          <w:szCs w:val="28"/>
        </w:rPr>
        <w:t>дисконтом автоматично є договорами факторингу навіть у випадку, коли сторони не</w:t>
      </w:r>
      <w:r w:rsidR="0047291A">
        <w:rPr>
          <w:sz w:val="28"/>
          <w:szCs w:val="28"/>
        </w:rPr>
        <w:t xml:space="preserve"> </w:t>
      </w:r>
      <w:r w:rsidR="0047291A" w:rsidRPr="0047291A">
        <w:rPr>
          <w:sz w:val="28"/>
          <w:szCs w:val="28"/>
        </w:rPr>
        <w:t>бажали укласти договір факторингу, а мали намір укласти виключно договір</w:t>
      </w:r>
      <w:r w:rsidR="0047291A">
        <w:rPr>
          <w:sz w:val="28"/>
          <w:szCs w:val="28"/>
        </w:rPr>
        <w:t xml:space="preserve"> відступлення права вимоги</w:t>
      </w:r>
      <w:r w:rsidR="00E501C7">
        <w:rPr>
          <w:sz w:val="28"/>
          <w:szCs w:val="28"/>
        </w:rPr>
        <w:t>“</w:t>
      </w:r>
      <w:r w:rsidR="0047291A">
        <w:rPr>
          <w:sz w:val="28"/>
          <w:szCs w:val="28"/>
        </w:rPr>
        <w:t xml:space="preserve">. </w:t>
      </w:r>
      <w:r w:rsidR="00E501C7">
        <w:rPr>
          <w:sz w:val="28"/>
          <w:szCs w:val="28"/>
        </w:rPr>
        <w:t xml:space="preserve">Таке застосування </w:t>
      </w:r>
      <w:r w:rsidR="001561B2">
        <w:rPr>
          <w:sz w:val="28"/>
          <w:szCs w:val="28"/>
        </w:rPr>
        <w:t>абзацу першого частини першої статті 1077</w:t>
      </w:r>
      <w:r w:rsidR="00E501C7">
        <w:rPr>
          <w:sz w:val="28"/>
          <w:szCs w:val="28"/>
        </w:rPr>
        <w:t xml:space="preserve"> Кодексу, на думку Заявника, „н</w:t>
      </w:r>
      <w:r w:rsidR="0047291A">
        <w:rPr>
          <w:sz w:val="28"/>
          <w:szCs w:val="28"/>
        </w:rPr>
        <w:t>е відповідає ст. 41</w:t>
      </w:r>
      <w:r w:rsidR="0047291A" w:rsidRPr="0047291A">
        <w:rPr>
          <w:sz w:val="28"/>
          <w:szCs w:val="28"/>
        </w:rPr>
        <w:t>, 42, 64 Конституції України</w:t>
      </w:r>
      <w:r w:rsidR="0047291A">
        <w:rPr>
          <w:sz w:val="28"/>
          <w:szCs w:val="28"/>
        </w:rPr>
        <w:t>“</w:t>
      </w:r>
      <w:r w:rsidR="0047291A" w:rsidRPr="0047291A">
        <w:rPr>
          <w:sz w:val="28"/>
          <w:szCs w:val="28"/>
        </w:rPr>
        <w:t>.</w:t>
      </w:r>
    </w:p>
    <w:p w:rsidR="00CA35EA" w:rsidRPr="00827D6A" w:rsidRDefault="00CA35EA" w:rsidP="00A703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A35EA" w:rsidRPr="00B65BBD" w:rsidRDefault="00CA35EA" w:rsidP="00A70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65BBD">
        <w:rPr>
          <w:sz w:val="28"/>
          <w:szCs w:val="28"/>
          <w:lang w:val="uk-UA"/>
        </w:rPr>
        <w:t>3. Вирішуючи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CA35EA" w:rsidRPr="00C46B64" w:rsidRDefault="00CA35EA" w:rsidP="00A703C9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403E0">
        <w:rPr>
          <w:rFonts w:cs="Times New Roman"/>
          <w:sz w:val="28"/>
          <w:szCs w:val="28"/>
          <w:lang w:val="uk-UA"/>
        </w:rPr>
        <w:t>Згідно зі статтею 77 Зак</w:t>
      </w:r>
      <w:r>
        <w:rPr>
          <w:rFonts w:cs="Times New Roman"/>
          <w:sz w:val="28"/>
          <w:szCs w:val="28"/>
          <w:lang w:val="uk-UA"/>
        </w:rPr>
        <w:t xml:space="preserve">ону України „Про Конституційний Суд </w:t>
      </w:r>
      <w:r w:rsidRPr="002403E0">
        <w:rPr>
          <w:rFonts w:cs="Times New Roman"/>
          <w:sz w:val="28"/>
          <w:szCs w:val="28"/>
          <w:lang w:val="uk-UA"/>
        </w:rPr>
        <w:t>України“ конституційна скарг</w:t>
      </w:r>
      <w:r>
        <w:rPr>
          <w:rFonts w:cs="Times New Roman"/>
          <w:sz w:val="28"/>
          <w:szCs w:val="28"/>
          <w:lang w:val="uk-UA"/>
        </w:rPr>
        <w:t>а вважається прийнятною за умов її</w:t>
      </w:r>
      <w:r w:rsidRPr="002403E0">
        <w:rPr>
          <w:rFonts w:cs="Times New Roman"/>
          <w:sz w:val="28"/>
          <w:szCs w:val="28"/>
          <w:lang w:val="uk-UA"/>
        </w:rPr>
        <w:t xml:space="preserve"> відповідності вимогам, передб</w:t>
      </w:r>
      <w:r>
        <w:rPr>
          <w:rFonts w:cs="Times New Roman"/>
          <w:sz w:val="28"/>
          <w:szCs w:val="28"/>
          <w:lang w:val="uk-UA"/>
        </w:rPr>
        <w:t xml:space="preserve">аченим статтями 55, 56 цього закону, </w:t>
      </w:r>
      <w:r w:rsidRPr="002403E0">
        <w:rPr>
          <w:rFonts w:cs="Times New Roman"/>
          <w:sz w:val="28"/>
          <w:szCs w:val="28"/>
          <w:lang w:val="uk-UA"/>
        </w:rPr>
        <w:t>та якщо з дня набрання з</w:t>
      </w:r>
      <w:r>
        <w:rPr>
          <w:rFonts w:cs="Times New Roman"/>
          <w:sz w:val="28"/>
          <w:szCs w:val="28"/>
          <w:lang w:val="uk-UA"/>
        </w:rPr>
        <w:t xml:space="preserve">аконної сили остаточним судовим рішенням, у якому застосовано закон України (його </w:t>
      </w:r>
      <w:r w:rsidRPr="002403E0">
        <w:rPr>
          <w:rFonts w:cs="Times New Roman"/>
          <w:sz w:val="28"/>
          <w:szCs w:val="28"/>
          <w:lang w:val="uk-UA"/>
        </w:rPr>
        <w:t>окр</w:t>
      </w:r>
      <w:r>
        <w:rPr>
          <w:rFonts w:cs="Times New Roman"/>
          <w:sz w:val="28"/>
          <w:szCs w:val="28"/>
          <w:lang w:val="uk-UA"/>
        </w:rPr>
        <w:t>емі положення), сплинуло не більше трьох місяців (абзац</w:t>
      </w:r>
      <w:r w:rsidRPr="002403E0">
        <w:rPr>
          <w:rFonts w:cs="Times New Roman"/>
          <w:sz w:val="28"/>
          <w:szCs w:val="28"/>
          <w:lang w:val="uk-UA"/>
        </w:rPr>
        <w:t xml:space="preserve"> перший,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2403E0">
        <w:rPr>
          <w:rFonts w:cs="Times New Roman"/>
          <w:sz w:val="28"/>
          <w:szCs w:val="28"/>
          <w:lang w:val="uk-UA"/>
        </w:rPr>
        <w:t>пункт 2 частини першої)</w:t>
      </w:r>
      <w:r w:rsidRPr="00C46B64">
        <w:rPr>
          <w:rFonts w:cs="Times New Roman"/>
          <w:sz w:val="28"/>
          <w:szCs w:val="28"/>
          <w:lang w:val="uk-UA"/>
        </w:rPr>
        <w:t>;</w:t>
      </w:r>
      <w:r w:rsidRPr="00B65BBD">
        <w:rPr>
          <w:rFonts w:cs="Times New Roman"/>
          <w:sz w:val="28"/>
          <w:szCs w:val="28"/>
          <w:lang w:val="uk-UA"/>
        </w:rPr>
        <w:t xml:space="preserve"> </w:t>
      </w:r>
      <w:r w:rsidR="003A46C4">
        <w:rPr>
          <w:rFonts w:cs="Times New Roman"/>
          <w:sz w:val="28"/>
          <w:szCs w:val="28"/>
          <w:lang w:val="uk-UA"/>
        </w:rPr>
        <w:t>я</w:t>
      </w:r>
      <w:r w:rsidR="003A46C4" w:rsidRPr="003A46C4">
        <w:rPr>
          <w:rFonts w:cs="Times New Roman"/>
          <w:sz w:val="28"/>
          <w:szCs w:val="28"/>
          <w:lang w:val="uk-UA"/>
        </w:rPr>
        <w:t xml:space="preserve">к виняток, конституційна скарга може бути прийнята поза межами вимог, установлених пунктом 2 частини першої цієї статті, якщо </w:t>
      </w:r>
      <w:r w:rsidR="00A656A0">
        <w:rPr>
          <w:rFonts w:cs="Times New Roman"/>
          <w:sz w:val="28"/>
          <w:szCs w:val="28"/>
          <w:lang w:val="uk-UA"/>
        </w:rPr>
        <w:t xml:space="preserve">Конституційний </w:t>
      </w:r>
      <w:r w:rsidR="003A46C4" w:rsidRPr="003A46C4">
        <w:rPr>
          <w:rFonts w:cs="Times New Roman"/>
          <w:sz w:val="28"/>
          <w:szCs w:val="28"/>
          <w:lang w:val="uk-UA"/>
        </w:rPr>
        <w:t xml:space="preserve">Суд </w:t>
      </w:r>
      <w:r w:rsidR="00A656A0">
        <w:rPr>
          <w:rFonts w:cs="Times New Roman"/>
          <w:sz w:val="28"/>
          <w:szCs w:val="28"/>
          <w:lang w:val="uk-UA"/>
        </w:rPr>
        <w:t xml:space="preserve">України </w:t>
      </w:r>
      <w:r w:rsidR="003A46C4" w:rsidRPr="003A46C4">
        <w:rPr>
          <w:rFonts w:cs="Times New Roman"/>
          <w:sz w:val="28"/>
          <w:szCs w:val="28"/>
          <w:lang w:val="uk-UA"/>
        </w:rPr>
        <w:t>визнає її розгляд необхідним із мотивів суспільного інтересу</w:t>
      </w:r>
      <w:r w:rsidR="003A46C4">
        <w:rPr>
          <w:rFonts w:cs="Times New Roman"/>
          <w:sz w:val="28"/>
          <w:szCs w:val="28"/>
          <w:lang w:val="uk-UA"/>
        </w:rPr>
        <w:t xml:space="preserve"> (частина друга); </w:t>
      </w:r>
      <w:r w:rsidRPr="00C46B64">
        <w:rPr>
          <w:rFonts w:cs="Times New Roman"/>
          <w:sz w:val="28"/>
          <w:szCs w:val="28"/>
          <w:lang w:val="uk-UA"/>
        </w:rPr>
        <w:t>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</w:t>
      </w:r>
    </w:p>
    <w:p w:rsidR="00A703C9" w:rsidRDefault="00A703C9" w:rsidP="00A703C9">
      <w:pPr>
        <w:spacing w:line="348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en-US" w:bidi="ar-SA"/>
        </w:rPr>
      </w:pPr>
    </w:p>
    <w:p w:rsidR="00951F5C" w:rsidRDefault="00CA35EA" w:rsidP="00A703C9">
      <w:pPr>
        <w:spacing w:line="348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en-US" w:bidi="ar-SA"/>
        </w:rPr>
      </w:pPr>
      <w:r>
        <w:rPr>
          <w:rFonts w:eastAsia="Times New Roman" w:cs="Times New Roman"/>
          <w:sz w:val="28"/>
          <w:szCs w:val="28"/>
          <w:lang w:val="uk-UA" w:eastAsia="en-US" w:bidi="ar-SA"/>
        </w:rPr>
        <w:t>3.1. Аналіз документів і матеріалів, долучених Заявником до конституційної скарги, свідчить</w:t>
      </w:r>
      <w:r w:rsidR="000E1BFF">
        <w:rPr>
          <w:rFonts w:eastAsia="Times New Roman" w:cs="Times New Roman"/>
          <w:sz w:val="28"/>
          <w:szCs w:val="28"/>
          <w:lang w:val="uk-UA" w:eastAsia="en-US" w:bidi="ar-SA"/>
        </w:rPr>
        <w:t xml:space="preserve"> про те</w:t>
      </w:r>
      <w:r>
        <w:rPr>
          <w:rFonts w:eastAsia="Times New Roman" w:cs="Times New Roman"/>
          <w:sz w:val="28"/>
          <w:szCs w:val="28"/>
          <w:lang w:val="uk-UA" w:eastAsia="en-US" w:bidi="ar-SA"/>
        </w:rPr>
        <w:t xml:space="preserve">, що </w:t>
      </w:r>
      <w:r w:rsidR="00822CDB">
        <w:rPr>
          <w:rFonts w:eastAsia="Times New Roman" w:cs="Times New Roman"/>
          <w:sz w:val="28"/>
          <w:szCs w:val="28"/>
          <w:lang w:val="uk-UA" w:eastAsia="en-US" w:bidi="ar-SA"/>
        </w:rPr>
        <w:t>постанова</w:t>
      </w:r>
      <w:r w:rsidRPr="00C46B64">
        <w:rPr>
          <w:rFonts w:eastAsia="Times New Roman" w:cs="Times New Roman"/>
          <w:sz w:val="28"/>
          <w:szCs w:val="28"/>
          <w:lang w:val="uk-UA" w:eastAsia="en-US" w:bidi="ar-SA"/>
        </w:rPr>
        <w:t xml:space="preserve"> </w:t>
      </w:r>
      <w:r w:rsidR="007C006E" w:rsidRPr="005C7FD0">
        <w:rPr>
          <w:rFonts w:eastAsia="HiddenHorzOCR" w:cs="Times New Roman"/>
          <w:sz w:val="28"/>
          <w:szCs w:val="28"/>
          <w:lang w:val="uk-UA" w:eastAsia="uk-UA" w:bidi="ar-SA"/>
        </w:rPr>
        <w:t>Верховн</w:t>
      </w:r>
      <w:r w:rsidR="007C006E">
        <w:rPr>
          <w:rFonts w:eastAsia="HiddenHorzOCR" w:cs="Times New Roman"/>
          <w:sz w:val="28"/>
          <w:szCs w:val="28"/>
          <w:lang w:val="uk-UA" w:eastAsia="uk-UA" w:bidi="ar-SA"/>
        </w:rPr>
        <w:t>ого</w:t>
      </w:r>
      <w:r w:rsidR="007C006E" w:rsidRPr="005C7FD0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="007C006E">
        <w:rPr>
          <w:rFonts w:eastAsia="HiddenHorzOCR" w:cs="Times New Roman"/>
          <w:sz w:val="28"/>
          <w:szCs w:val="28"/>
          <w:lang w:val="uk-UA" w:eastAsia="uk-UA" w:bidi="ar-SA"/>
        </w:rPr>
        <w:t>Суду</w:t>
      </w:r>
      <w:r w:rsidR="007C006E" w:rsidRPr="005C7FD0">
        <w:rPr>
          <w:rFonts w:eastAsia="HiddenHorzOCR" w:cs="Times New Roman"/>
          <w:sz w:val="28"/>
          <w:szCs w:val="28"/>
          <w:lang w:val="uk-UA" w:eastAsia="uk-UA" w:bidi="ar-SA"/>
        </w:rPr>
        <w:t xml:space="preserve"> у складі колегії суддів Касаційного </w:t>
      </w:r>
      <w:r w:rsidR="007C006E">
        <w:rPr>
          <w:rFonts w:eastAsia="HiddenHorzOCR" w:cs="Times New Roman"/>
          <w:sz w:val="28"/>
          <w:szCs w:val="28"/>
          <w:lang w:val="uk-UA" w:eastAsia="uk-UA" w:bidi="ar-SA"/>
        </w:rPr>
        <w:t>господарського</w:t>
      </w:r>
      <w:r w:rsidR="007C006E" w:rsidRPr="005C7FD0">
        <w:rPr>
          <w:rFonts w:eastAsia="HiddenHorzOCR" w:cs="Times New Roman"/>
          <w:sz w:val="28"/>
          <w:szCs w:val="28"/>
          <w:lang w:val="uk-UA" w:eastAsia="uk-UA" w:bidi="ar-SA"/>
        </w:rPr>
        <w:t xml:space="preserve"> суду</w:t>
      </w:r>
      <w:r w:rsidR="007C006E" w:rsidRPr="00C46B64">
        <w:rPr>
          <w:rFonts w:eastAsia="Times New Roman" w:cs="Times New Roman"/>
          <w:sz w:val="28"/>
          <w:szCs w:val="28"/>
          <w:lang w:val="uk-UA" w:eastAsia="en-US" w:bidi="ar-SA"/>
        </w:rPr>
        <w:t xml:space="preserve"> </w:t>
      </w:r>
      <w:r w:rsidRPr="00C46B64">
        <w:rPr>
          <w:rFonts w:eastAsia="Times New Roman" w:cs="Times New Roman"/>
          <w:sz w:val="28"/>
          <w:szCs w:val="28"/>
          <w:lang w:val="uk-UA" w:eastAsia="en-US" w:bidi="ar-SA"/>
        </w:rPr>
        <w:t xml:space="preserve">від </w:t>
      </w:r>
      <w:r w:rsidR="00822CDB">
        <w:rPr>
          <w:rFonts w:eastAsia="Times New Roman" w:cs="Times New Roman"/>
          <w:sz w:val="28"/>
          <w:szCs w:val="28"/>
          <w:lang w:val="uk-UA" w:eastAsia="en-US" w:bidi="ar-SA"/>
        </w:rPr>
        <w:t>21</w:t>
      </w:r>
      <w:r w:rsidRPr="00C46B64">
        <w:rPr>
          <w:rFonts w:eastAsia="Times New Roman" w:cs="Times New Roman"/>
          <w:sz w:val="28"/>
          <w:szCs w:val="28"/>
          <w:lang w:val="uk-UA" w:eastAsia="en-US" w:bidi="ar-SA"/>
        </w:rPr>
        <w:t xml:space="preserve"> </w:t>
      </w:r>
      <w:r w:rsidR="00822CDB">
        <w:rPr>
          <w:rFonts w:eastAsia="Times New Roman" w:cs="Times New Roman"/>
          <w:sz w:val="28"/>
          <w:szCs w:val="28"/>
          <w:lang w:val="uk-UA" w:eastAsia="en-US" w:bidi="ar-SA"/>
        </w:rPr>
        <w:t>грудня</w:t>
      </w:r>
      <w:r>
        <w:rPr>
          <w:rFonts w:eastAsia="Times New Roman" w:cs="Times New Roman"/>
          <w:sz w:val="28"/>
          <w:szCs w:val="28"/>
          <w:lang w:val="uk-UA" w:eastAsia="en-US" w:bidi="ar-SA"/>
        </w:rPr>
        <w:t xml:space="preserve"> 202</w:t>
      </w:r>
      <w:r w:rsidR="00822CDB">
        <w:rPr>
          <w:rFonts w:eastAsia="Times New Roman" w:cs="Times New Roman"/>
          <w:sz w:val="28"/>
          <w:szCs w:val="28"/>
          <w:lang w:val="uk-UA" w:eastAsia="en-US" w:bidi="ar-SA"/>
        </w:rPr>
        <w:t>1</w:t>
      </w:r>
      <w:r w:rsidRPr="00C46B64">
        <w:rPr>
          <w:rFonts w:eastAsia="Times New Roman" w:cs="Times New Roman"/>
          <w:sz w:val="28"/>
          <w:szCs w:val="28"/>
          <w:lang w:val="uk-UA" w:eastAsia="en-US" w:bidi="ar-SA"/>
        </w:rPr>
        <w:t xml:space="preserve"> року є остаточним судовим рішенням у справі </w:t>
      </w:r>
      <w:r>
        <w:rPr>
          <w:rFonts w:eastAsia="Times New Roman" w:cs="Times New Roman"/>
          <w:sz w:val="28"/>
          <w:szCs w:val="28"/>
          <w:lang w:val="uk-UA" w:eastAsia="en-US" w:bidi="ar-SA"/>
        </w:rPr>
        <w:t>Заявника і</w:t>
      </w:r>
      <w:r w:rsidRPr="00C46B64">
        <w:rPr>
          <w:rFonts w:eastAsia="Times New Roman" w:cs="Times New Roman"/>
          <w:sz w:val="28"/>
          <w:szCs w:val="28"/>
          <w:lang w:val="uk-UA" w:eastAsia="en-US" w:bidi="ar-SA"/>
        </w:rPr>
        <w:t xml:space="preserve"> набрала законної сили з моменту її </w:t>
      </w:r>
      <w:r w:rsidR="000E1BFF">
        <w:rPr>
          <w:rFonts w:eastAsia="Times New Roman" w:cs="Times New Roman"/>
          <w:sz w:val="28"/>
          <w:szCs w:val="28"/>
          <w:lang w:val="uk-UA" w:eastAsia="en-US" w:bidi="ar-SA"/>
        </w:rPr>
        <w:t>ухвалення</w:t>
      </w:r>
      <w:r w:rsidRPr="00C46B64">
        <w:rPr>
          <w:rFonts w:eastAsia="Times New Roman" w:cs="Times New Roman"/>
          <w:sz w:val="28"/>
          <w:szCs w:val="28"/>
          <w:lang w:val="uk-UA" w:eastAsia="en-US" w:bidi="ar-SA"/>
        </w:rPr>
        <w:t>.</w:t>
      </w:r>
    </w:p>
    <w:p w:rsidR="00CA35EA" w:rsidRPr="004310DD" w:rsidRDefault="00CA35EA" w:rsidP="00A703C9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46B64">
        <w:rPr>
          <w:rFonts w:cs="Times New Roman"/>
          <w:sz w:val="28"/>
          <w:szCs w:val="28"/>
          <w:lang w:val="uk-UA"/>
        </w:rPr>
        <w:t>Конституційн</w:t>
      </w:r>
      <w:r>
        <w:rPr>
          <w:rFonts w:cs="Times New Roman"/>
          <w:sz w:val="28"/>
          <w:szCs w:val="28"/>
          <w:lang w:val="uk-UA"/>
        </w:rPr>
        <w:t>у</w:t>
      </w:r>
      <w:r w:rsidRPr="00C46B64">
        <w:rPr>
          <w:rFonts w:cs="Times New Roman"/>
          <w:sz w:val="28"/>
          <w:szCs w:val="28"/>
          <w:lang w:val="uk-UA"/>
        </w:rPr>
        <w:t xml:space="preserve"> скарг</w:t>
      </w:r>
      <w:r>
        <w:rPr>
          <w:rFonts w:cs="Times New Roman"/>
          <w:sz w:val="28"/>
          <w:szCs w:val="28"/>
          <w:lang w:val="uk-UA"/>
        </w:rPr>
        <w:t>у</w:t>
      </w:r>
      <w:r w:rsidRPr="00C46B6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Заявник подав </w:t>
      </w:r>
      <w:r w:rsidRPr="00C46B64">
        <w:rPr>
          <w:rFonts w:cs="Times New Roman"/>
          <w:sz w:val="28"/>
          <w:szCs w:val="28"/>
          <w:lang w:val="uk-UA"/>
        </w:rPr>
        <w:t xml:space="preserve">до Конституційного Суду </w:t>
      </w:r>
      <w:r w:rsidR="00A656A0">
        <w:rPr>
          <w:rFonts w:cs="Times New Roman"/>
          <w:sz w:val="28"/>
          <w:szCs w:val="28"/>
          <w:lang w:val="uk-UA"/>
        </w:rPr>
        <w:t>України</w:t>
      </w:r>
      <w:r w:rsidR="00E03D35">
        <w:rPr>
          <w:rFonts w:cs="Times New Roman"/>
          <w:sz w:val="28"/>
          <w:szCs w:val="28"/>
          <w:lang w:val="uk-UA"/>
        </w:rPr>
        <w:br/>
      </w:r>
      <w:r w:rsidR="007C006E">
        <w:rPr>
          <w:rFonts w:cs="Times New Roman"/>
          <w:sz w:val="28"/>
          <w:szCs w:val="28"/>
          <w:lang w:val="uk-UA"/>
        </w:rPr>
        <w:t xml:space="preserve">20 травня </w:t>
      </w:r>
      <w:r w:rsidRPr="004310DD">
        <w:rPr>
          <w:rFonts w:cs="Times New Roman"/>
          <w:sz w:val="28"/>
          <w:szCs w:val="28"/>
          <w:lang w:val="uk-UA"/>
        </w:rPr>
        <w:t>202</w:t>
      </w:r>
      <w:r w:rsidR="007C006E">
        <w:rPr>
          <w:rFonts w:cs="Times New Roman"/>
          <w:sz w:val="28"/>
          <w:szCs w:val="28"/>
          <w:lang w:val="uk-UA"/>
        </w:rPr>
        <w:t>2</w:t>
      </w:r>
      <w:r w:rsidRPr="004310DD">
        <w:rPr>
          <w:rFonts w:cs="Times New Roman"/>
          <w:sz w:val="28"/>
          <w:szCs w:val="28"/>
          <w:lang w:val="uk-UA"/>
        </w:rPr>
        <w:t xml:space="preserve"> року, тобто поза межами тримісячного строку</w:t>
      </w:r>
      <w:r w:rsidR="00A703C9">
        <w:rPr>
          <w:rFonts w:cs="Times New Roman"/>
          <w:sz w:val="28"/>
          <w:szCs w:val="28"/>
          <w:lang w:val="uk-UA"/>
        </w:rPr>
        <w:t xml:space="preserve">, визначеного пунктом 2 частини </w:t>
      </w:r>
      <w:r w:rsidRPr="004310DD">
        <w:rPr>
          <w:rFonts w:cs="Times New Roman"/>
          <w:sz w:val="28"/>
          <w:szCs w:val="28"/>
          <w:lang w:val="uk-UA"/>
        </w:rPr>
        <w:t>першої статті 77 Закону України „Про Конституційний Суд України“.</w:t>
      </w:r>
    </w:p>
    <w:p w:rsidR="007C006E" w:rsidRDefault="00CA35EA" w:rsidP="00A703C9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310DD">
        <w:rPr>
          <w:rFonts w:cs="Times New Roman"/>
          <w:sz w:val="28"/>
          <w:szCs w:val="28"/>
          <w:lang w:val="uk-UA"/>
        </w:rPr>
        <w:t>До конституційної скарги долучено клопотання про поновлення пропущеного строку подання конституційної скарги</w:t>
      </w:r>
      <w:r w:rsidR="007C006E">
        <w:rPr>
          <w:rFonts w:cs="Times New Roman"/>
          <w:sz w:val="28"/>
          <w:szCs w:val="28"/>
          <w:lang w:val="uk-UA"/>
        </w:rPr>
        <w:t xml:space="preserve"> та про необхідність її розгляду з мотивів суспільного інтересу.</w:t>
      </w:r>
    </w:p>
    <w:p w:rsidR="00951F5C" w:rsidRDefault="007C006E" w:rsidP="00A703C9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C006E">
        <w:rPr>
          <w:rFonts w:cs="Times New Roman"/>
          <w:sz w:val="28"/>
          <w:szCs w:val="28"/>
          <w:lang w:val="uk-UA"/>
        </w:rPr>
        <w:t>Друга колегія суддів Другого сенату Конституційного Суду України</w:t>
      </w:r>
      <w:r>
        <w:rPr>
          <w:rFonts w:cs="Times New Roman"/>
          <w:sz w:val="28"/>
          <w:szCs w:val="28"/>
          <w:lang w:val="uk-UA"/>
        </w:rPr>
        <w:t>, проаналізувавши заявлені клопотання, дійшла висновку, що вони</w:t>
      </w:r>
      <w:r w:rsidR="00CA35EA" w:rsidRPr="004310DD">
        <w:rPr>
          <w:rFonts w:cs="Times New Roman"/>
          <w:sz w:val="28"/>
          <w:szCs w:val="28"/>
          <w:lang w:val="uk-UA"/>
        </w:rPr>
        <w:t xml:space="preserve"> не підляга</w:t>
      </w:r>
      <w:r>
        <w:rPr>
          <w:rFonts w:cs="Times New Roman"/>
          <w:sz w:val="28"/>
          <w:szCs w:val="28"/>
          <w:lang w:val="uk-UA"/>
        </w:rPr>
        <w:t>ють</w:t>
      </w:r>
      <w:r w:rsidR="000E1BFF" w:rsidRPr="000E1BFF">
        <w:rPr>
          <w:rFonts w:cs="Times New Roman"/>
          <w:sz w:val="28"/>
          <w:szCs w:val="28"/>
          <w:lang w:val="uk-UA"/>
        </w:rPr>
        <w:t xml:space="preserve"> </w:t>
      </w:r>
      <w:r w:rsidR="000E1BFF">
        <w:rPr>
          <w:rFonts w:cs="Times New Roman"/>
          <w:sz w:val="28"/>
          <w:szCs w:val="28"/>
          <w:lang w:val="uk-UA"/>
        </w:rPr>
        <w:t>задоволенню</w:t>
      </w:r>
      <w:r w:rsidR="00CA35EA" w:rsidRPr="004310DD">
        <w:rPr>
          <w:rFonts w:cs="Times New Roman"/>
          <w:sz w:val="28"/>
          <w:szCs w:val="28"/>
          <w:lang w:val="uk-UA"/>
        </w:rPr>
        <w:t>.</w:t>
      </w:r>
    </w:p>
    <w:p w:rsidR="00951F5C" w:rsidRDefault="000E1BFF" w:rsidP="00A703C9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Отже</w:t>
      </w:r>
      <w:r w:rsidR="00CA35EA" w:rsidRPr="004310DD">
        <w:rPr>
          <w:rFonts w:cs="Times New Roman"/>
          <w:sz w:val="28"/>
          <w:szCs w:val="28"/>
          <w:lang w:val="uk-UA"/>
        </w:rPr>
        <w:t>, Заявник не дотримав вимог</w:t>
      </w:r>
      <w:r w:rsidR="00A703C9">
        <w:rPr>
          <w:rFonts w:cs="Times New Roman"/>
          <w:sz w:val="28"/>
          <w:szCs w:val="28"/>
          <w:lang w:val="uk-UA"/>
        </w:rPr>
        <w:t xml:space="preserve"> пункту 2 частини першої статті </w:t>
      </w:r>
      <w:r w:rsidR="00CA35EA" w:rsidRPr="004310DD">
        <w:rPr>
          <w:rFonts w:cs="Times New Roman"/>
          <w:sz w:val="28"/>
          <w:szCs w:val="28"/>
          <w:lang w:val="uk-UA"/>
        </w:rPr>
        <w:t xml:space="preserve">77 Закону України „Про Конституційний Суд України“, а його конституційна скарга є такою, що </w:t>
      </w:r>
      <w:r>
        <w:rPr>
          <w:rFonts w:cs="Times New Roman"/>
          <w:sz w:val="28"/>
          <w:szCs w:val="28"/>
          <w:lang w:val="uk-UA"/>
        </w:rPr>
        <w:t xml:space="preserve">її </w:t>
      </w:r>
      <w:r w:rsidR="00CA35EA" w:rsidRPr="004310DD">
        <w:rPr>
          <w:rFonts w:cs="Times New Roman"/>
          <w:sz w:val="28"/>
          <w:szCs w:val="28"/>
          <w:lang w:val="uk-UA"/>
        </w:rPr>
        <w:t>подан</w:t>
      </w:r>
      <w:r>
        <w:rPr>
          <w:rFonts w:cs="Times New Roman"/>
          <w:sz w:val="28"/>
          <w:szCs w:val="28"/>
          <w:lang w:val="uk-UA"/>
        </w:rPr>
        <w:t>о</w:t>
      </w:r>
      <w:r w:rsidR="00CA35EA" w:rsidRPr="004310DD">
        <w:rPr>
          <w:rFonts w:cs="Times New Roman"/>
          <w:sz w:val="28"/>
          <w:szCs w:val="28"/>
          <w:lang w:val="uk-UA"/>
        </w:rPr>
        <w:t xml:space="preserve"> з порушенням </w:t>
      </w:r>
      <w:r w:rsidR="009B2084">
        <w:rPr>
          <w:rFonts w:cs="Times New Roman"/>
          <w:sz w:val="28"/>
          <w:szCs w:val="28"/>
          <w:lang w:val="uk-UA"/>
        </w:rPr>
        <w:t>у</w:t>
      </w:r>
      <w:r w:rsidR="00CA35EA" w:rsidRPr="004310DD">
        <w:rPr>
          <w:rFonts w:cs="Times New Roman"/>
          <w:sz w:val="28"/>
          <w:szCs w:val="28"/>
          <w:lang w:val="uk-UA"/>
        </w:rPr>
        <w:t>с</w:t>
      </w:r>
      <w:r w:rsidR="007C006E">
        <w:rPr>
          <w:rFonts w:cs="Times New Roman"/>
          <w:sz w:val="28"/>
          <w:szCs w:val="28"/>
          <w:lang w:val="uk-UA"/>
        </w:rPr>
        <w:t>тановленого цим законом строку.</w:t>
      </w:r>
    </w:p>
    <w:p w:rsidR="00E43E79" w:rsidRDefault="00E43E79" w:rsidP="00A703C9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43E79">
        <w:rPr>
          <w:rFonts w:cs="Times New Roman"/>
          <w:sz w:val="28"/>
          <w:szCs w:val="28"/>
          <w:lang w:val="uk-UA"/>
        </w:rPr>
        <w:t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CA35EA" w:rsidRPr="00C46B64" w:rsidRDefault="00CA35EA" w:rsidP="00A703C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51F5C" w:rsidRDefault="00CA35EA" w:rsidP="00A703C9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val="uk-UA"/>
        </w:rPr>
      </w:pPr>
      <w:r w:rsidRPr="00B508F3">
        <w:rPr>
          <w:sz w:val="28"/>
          <w:szCs w:val="28"/>
          <w:lang w:val="uk-UA"/>
        </w:rPr>
        <w:t>Ураховуючи викладене та керуючись статтями 147, 151</w:t>
      </w:r>
      <w:r w:rsidRPr="00B508F3">
        <w:rPr>
          <w:sz w:val="28"/>
          <w:szCs w:val="28"/>
          <w:vertAlign w:val="superscript"/>
          <w:lang w:val="uk-UA"/>
        </w:rPr>
        <w:t>1</w:t>
      </w:r>
      <w:r w:rsidRPr="00B508F3">
        <w:rPr>
          <w:sz w:val="28"/>
          <w:szCs w:val="28"/>
          <w:lang w:val="uk-UA"/>
        </w:rPr>
        <w:t>, 153 Конституції України, на підставі статей 7, 32, 37, 55, 56, 58, 61, 62, 77, 83,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0E1BFF" w:rsidRDefault="000E1BFF" w:rsidP="00A703C9">
      <w:pPr>
        <w:pStyle w:val="11"/>
        <w:autoSpaceDE w:val="0"/>
        <w:autoSpaceDN w:val="0"/>
        <w:adjustRightInd w:val="0"/>
        <w:spacing w:after="0" w:line="36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A35EA" w:rsidRDefault="00CA35EA" w:rsidP="00A703C9">
      <w:pPr>
        <w:pStyle w:val="11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х в а л и л а:</w:t>
      </w:r>
    </w:p>
    <w:p w:rsidR="004030FE" w:rsidRDefault="004030FE" w:rsidP="00A703C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A35EA" w:rsidRPr="00C46B64" w:rsidRDefault="00CA35EA" w:rsidP="00A703C9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46B64">
        <w:rPr>
          <w:rFonts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E954F1" w:rsidRPr="00E954F1">
        <w:rPr>
          <w:rFonts w:cs="Times New Roman"/>
          <w:sz w:val="28"/>
          <w:szCs w:val="28"/>
          <w:lang w:val="uk-UA" w:bidi="ar-SA"/>
        </w:rPr>
        <w:t xml:space="preserve">ВІЕР Глобал Партнерс, Л.П. (VR Global Partners, L.P.) щодо відповідності Конституції України (конституційності) абзацу першого частини першої статті 1077 Цивільного кодексу України </w:t>
      </w:r>
      <w:r w:rsidRPr="00C46B64">
        <w:rPr>
          <w:rFonts w:cs="Times New Roman"/>
          <w:sz w:val="28"/>
          <w:szCs w:val="28"/>
          <w:lang w:val="uk-UA"/>
        </w:rPr>
        <w:t xml:space="preserve">на підставі пункту 4 статті 62 Закону </w:t>
      </w:r>
      <w:r>
        <w:rPr>
          <w:rFonts w:cs="Times New Roman"/>
          <w:sz w:val="28"/>
          <w:szCs w:val="28"/>
          <w:lang w:val="uk-UA"/>
        </w:rPr>
        <w:t xml:space="preserve">України „Про Конституційний Суд </w:t>
      </w:r>
      <w:r w:rsidRPr="00C46B64">
        <w:rPr>
          <w:rFonts w:cs="Times New Roman"/>
          <w:sz w:val="28"/>
          <w:szCs w:val="28"/>
          <w:lang w:val="uk-UA"/>
        </w:rPr>
        <w:t xml:space="preserve">України“ – </w:t>
      </w:r>
      <w:r w:rsidRPr="00C46B64">
        <w:rPr>
          <w:rFonts w:cs="Times New Roman"/>
          <w:bCs/>
          <w:sz w:val="28"/>
          <w:szCs w:val="28"/>
          <w:lang w:val="uk-UA"/>
        </w:rPr>
        <w:t>неприйнятність конституційної скарги</w:t>
      </w:r>
      <w:r w:rsidRPr="00C46B64">
        <w:rPr>
          <w:rFonts w:cs="Times New Roman"/>
          <w:sz w:val="28"/>
          <w:szCs w:val="28"/>
          <w:lang w:val="uk-UA"/>
        </w:rPr>
        <w:t>.</w:t>
      </w:r>
    </w:p>
    <w:p w:rsidR="00CA35EA" w:rsidRPr="00C46B64" w:rsidRDefault="00CA35EA" w:rsidP="00A703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5EA" w:rsidRDefault="00CA35EA" w:rsidP="00A703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B64">
        <w:rPr>
          <w:rFonts w:ascii="Times New Roman" w:hAnsi="Times New Roman" w:cs="Times New Roman"/>
          <w:sz w:val="28"/>
          <w:szCs w:val="28"/>
          <w:lang w:val="uk-UA"/>
        </w:rPr>
        <w:t xml:space="preserve">2. Ухвала Другої колегії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Pr="00C46B64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є остаточною.</w:t>
      </w:r>
    </w:p>
    <w:p w:rsidR="00A703C9" w:rsidRDefault="00A703C9" w:rsidP="00A703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C9" w:rsidRDefault="00A703C9" w:rsidP="00A703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C9" w:rsidRDefault="00A703C9" w:rsidP="00A703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03" w:rsidRDefault="00AA2503" w:rsidP="00AA25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Друга колегія суддів</w:t>
      </w:r>
    </w:p>
    <w:p w:rsidR="00AA2503" w:rsidRDefault="00AA2503" w:rsidP="00AA25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Другого сенату</w:t>
      </w:r>
    </w:p>
    <w:p w:rsidR="00AA2503" w:rsidRPr="00AA2503" w:rsidRDefault="00AA2503" w:rsidP="00AA25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A2503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AA2503" w:rsidRPr="00AA2503" w:rsidSect="00A703C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66" w:rsidRDefault="00BC4266">
      <w:r>
        <w:separator/>
      </w:r>
    </w:p>
  </w:endnote>
  <w:endnote w:type="continuationSeparator" w:id="0">
    <w:p w:rsidR="00BC4266" w:rsidRDefault="00B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3C9" w:rsidRPr="00A703C9" w:rsidRDefault="00A703C9">
    <w:pPr>
      <w:pStyle w:val="ab"/>
      <w:rPr>
        <w:sz w:val="10"/>
        <w:szCs w:val="10"/>
        <w:lang w:val="en-US"/>
      </w:rPr>
    </w:pPr>
    <w:r w:rsidRPr="00A703C9">
      <w:rPr>
        <w:sz w:val="10"/>
        <w:szCs w:val="10"/>
      </w:rPr>
      <w:fldChar w:fldCharType="begin"/>
    </w:r>
    <w:r w:rsidRPr="00A703C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703C9">
      <w:rPr>
        <w:sz w:val="10"/>
        <w:szCs w:val="10"/>
      </w:rPr>
      <w:fldChar w:fldCharType="separate"/>
    </w:r>
    <w:r w:rsidR="00AA2503">
      <w:rPr>
        <w:rFonts w:cs="Arial Unicode MS"/>
        <w:noProof/>
        <w:sz w:val="10"/>
        <w:szCs w:val="10"/>
        <w:lang w:val="uk-UA"/>
      </w:rPr>
      <w:t>G:\2022\Suddi\II senat\II koleg\14.docx</w:t>
    </w:r>
    <w:r w:rsidRPr="00A703C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3C9" w:rsidRPr="00A703C9" w:rsidRDefault="00A703C9">
    <w:pPr>
      <w:pStyle w:val="ab"/>
      <w:rPr>
        <w:sz w:val="10"/>
        <w:szCs w:val="10"/>
        <w:lang w:val="en-US"/>
      </w:rPr>
    </w:pPr>
    <w:r w:rsidRPr="00A703C9">
      <w:rPr>
        <w:sz w:val="10"/>
        <w:szCs w:val="10"/>
      </w:rPr>
      <w:fldChar w:fldCharType="begin"/>
    </w:r>
    <w:r w:rsidRPr="00A703C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703C9">
      <w:rPr>
        <w:sz w:val="10"/>
        <w:szCs w:val="10"/>
      </w:rPr>
      <w:fldChar w:fldCharType="separate"/>
    </w:r>
    <w:r w:rsidR="00AA2503">
      <w:rPr>
        <w:rFonts w:cs="Arial Unicode MS"/>
        <w:noProof/>
        <w:sz w:val="10"/>
        <w:szCs w:val="10"/>
        <w:lang w:val="uk-UA"/>
      </w:rPr>
      <w:t>G:\2022\Suddi\II senat\II koleg\14.docx</w:t>
    </w:r>
    <w:r w:rsidRPr="00A703C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66" w:rsidRDefault="00BC4266">
      <w:r>
        <w:separator/>
      </w:r>
    </w:p>
  </w:footnote>
  <w:footnote w:type="continuationSeparator" w:id="0">
    <w:p w:rsidR="00BC4266" w:rsidRDefault="00BC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73" w:rsidRDefault="00E954F1" w:rsidP="00966430">
    <w:pPr>
      <w:pStyle w:val="a3"/>
      <w:jc w:val="center"/>
    </w:pPr>
    <w:r w:rsidRPr="00E85573">
      <w:rPr>
        <w:sz w:val="28"/>
        <w:szCs w:val="28"/>
      </w:rPr>
      <w:fldChar w:fldCharType="begin"/>
    </w:r>
    <w:r w:rsidRPr="00E85573">
      <w:rPr>
        <w:sz w:val="28"/>
        <w:szCs w:val="28"/>
      </w:rPr>
      <w:instrText>PAGE   \* MERGEFORMAT</w:instrText>
    </w:r>
    <w:r w:rsidRPr="00E85573">
      <w:rPr>
        <w:sz w:val="28"/>
        <w:szCs w:val="28"/>
      </w:rPr>
      <w:fldChar w:fldCharType="separate"/>
    </w:r>
    <w:r w:rsidR="00951F5C" w:rsidRPr="00951F5C">
      <w:rPr>
        <w:noProof/>
        <w:sz w:val="28"/>
        <w:szCs w:val="28"/>
        <w:lang w:val="uk-UA"/>
      </w:rPr>
      <w:t>2</w:t>
    </w:r>
    <w:r w:rsidRPr="00E8557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A"/>
    <w:rsid w:val="000972E4"/>
    <w:rsid w:val="00097B85"/>
    <w:rsid w:val="000C335E"/>
    <w:rsid w:val="000E1BFF"/>
    <w:rsid w:val="000E6A66"/>
    <w:rsid w:val="001074DF"/>
    <w:rsid w:val="001561B2"/>
    <w:rsid w:val="00173171"/>
    <w:rsid w:val="00173AE6"/>
    <w:rsid w:val="001803CB"/>
    <w:rsid w:val="001B37D2"/>
    <w:rsid w:val="001D2683"/>
    <w:rsid w:val="001F2DF4"/>
    <w:rsid w:val="00202B90"/>
    <w:rsid w:val="00226012"/>
    <w:rsid w:val="002808DC"/>
    <w:rsid w:val="002E2031"/>
    <w:rsid w:val="003A46C4"/>
    <w:rsid w:val="003D5D74"/>
    <w:rsid w:val="004030FE"/>
    <w:rsid w:val="004333B4"/>
    <w:rsid w:val="0043454D"/>
    <w:rsid w:val="0047291A"/>
    <w:rsid w:val="005A000D"/>
    <w:rsid w:val="005F617F"/>
    <w:rsid w:val="0063271A"/>
    <w:rsid w:val="006F1CD9"/>
    <w:rsid w:val="00726C4A"/>
    <w:rsid w:val="007C006E"/>
    <w:rsid w:val="007D4B55"/>
    <w:rsid w:val="007F75C3"/>
    <w:rsid w:val="00822CDB"/>
    <w:rsid w:val="0087743C"/>
    <w:rsid w:val="008A6F2F"/>
    <w:rsid w:val="009104F0"/>
    <w:rsid w:val="00951F5C"/>
    <w:rsid w:val="009B2084"/>
    <w:rsid w:val="00A154B1"/>
    <w:rsid w:val="00A656A0"/>
    <w:rsid w:val="00A703C9"/>
    <w:rsid w:val="00AA2503"/>
    <w:rsid w:val="00AA3E0B"/>
    <w:rsid w:val="00AF5394"/>
    <w:rsid w:val="00B07301"/>
    <w:rsid w:val="00B8082A"/>
    <w:rsid w:val="00BC4266"/>
    <w:rsid w:val="00BD62FB"/>
    <w:rsid w:val="00C26F89"/>
    <w:rsid w:val="00C95726"/>
    <w:rsid w:val="00C95776"/>
    <w:rsid w:val="00CA35EA"/>
    <w:rsid w:val="00DC7F85"/>
    <w:rsid w:val="00DF6C13"/>
    <w:rsid w:val="00E03D35"/>
    <w:rsid w:val="00E379EC"/>
    <w:rsid w:val="00E43E79"/>
    <w:rsid w:val="00E501C7"/>
    <w:rsid w:val="00E641F0"/>
    <w:rsid w:val="00E65EB0"/>
    <w:rsid w:val="00E93F13"/>
    <w:rsid w:val="00E954F1"/>
    <w:rsid w:val="00EA673A"/>
    <w:rsid w:val="00EB5840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F79E2-9B96-473A-8BFE-B0CD24C6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EA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A703C9"/>
    <w:pPr>
      <w:keepNext/>
      <w:spacing w:line="221" w:lineRule="auto"/>
      <w:jc w:val="center"/>
      <w:outlineLvl w:val="0"/>
    </w:pPr>
    <w:rPr>
      <w:rFonts w:ascii="Peterburg" w:eastAsia="Times New Roman" w:hAnsi="Peterburg" w:cs="Times New Roman"/>
      <w:sz w:val="28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A3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rsid w:val="00CA35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CA35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CA35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Основной текст_"/>
    <w:link w:val="a6"/>
    <w:rsid w:val="00CA35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Основной текст"/>
    <w:basedOn w:val="a"/>
    <w:link w:val="a5"/>
    <w:rsid w:val="00CA35EA"/>
    <w:pPr>
      <w:shd w:val="clear" w:color="auto" w:fill="FFFFFF"/>
      <w:spacing w:line="302" w:lineRule="exact"/>
      <w:jc w:val="both"/>
    </w:pPr>
    <w:rPr>
      <w:rFonts w:eastAsia="Times New Roman" w:cs="Times New Roman"/>
      <w:sz w:val="26"/>
      <w:szCs w:val="26"/>
      <w:lang w:val="uk-UA" w:eastAsia="en-US" w:bidi="ar-SA"/>
    </w:rPr>
  </w:style>
  <w:style w:type="paragraph" w:customStyle="1" w:styleId="11">
    <w:name w:val="Абзац списку1"/>
    <w:basedOn w:val="a"/>
    <w:rsid w:val="00CA35EA"/>
    <w:pPr>
      <w:spacing w:after="160" w:line="259" w:lineRule="auto"/>
      <w:ind w:left="720"/>
    </w:pPr>
    <w:rPr>
      <w:rFonts w:ascii="Calibri" w:eastAsia="Times New Roman" w:hAnsi="Calibri" w:cs="Times New Roman"/>
      <w:sz w:val="22"/>
      <w:szCs w:val="22"/>
      <w:lang w:val="uk-UA" w:eastAsia="en-US" w:bidi="ar-SA"/>
    </w:rPr>
  </w:style>
  <w:style w:type="paragraph" w:styleId="a7">
    <w:name w:val="Title"/>
    <w:basedOn w:val="a"/>
    <w:next w:val="a"/>
    <w:link w:val="a8"/>
    <w:uiPriority w:val="10"/>
    <w:qFormat/>
    <w:rsid w:val="00EA673A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8">
    <w:name w:val="Назва Знак"/>
    <w:basedOn w:val="a0"/>
    <w:link w:val="a7"/>
    <w:uiPriority w:val="10"/>
    <w:rsid w:val="00EA673A"/>
    <w:rPr>
      <w:rFonts w:asciiTheme="majorHAnsi" w:eastAsiaTheme="majorEastAsia" w:hAnsiTheme="majorHAnsi" w:cs="Mangal"/>
      <w:spacing w:val="-10"/>
      <w:kern w:val="28"/>
      <w:sz w:val="56"/>
      <w:szCs w:val="50"/>
      <w:lang w:val="ru-RU" w:eastAsia="ru-RU" w:bidi="hi-IN"/>
    </w:rPr>
  </w:style>
  <w:style w:type="paragraph" w:styleId="a9">
    <w:name w:val="Balloon Text"/>
    <w:basedOn w:val="a"/>
    <w:link w:val="aa"/>
    <w:uiPriority w:val="99"/>
    <w:semiHidden/>
    <w:unhideWhenUsed/>
    <w:rsid w:val="00E03D35"/>
    <w:rPr>
      <w:rFonts w:ascii="Segoe UI" w:hAnsi="Segoe UI" w:cs="Mangal"/>
      <w:sz w:val="18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03D3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A703C9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03C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rsid w:val="00A703C9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5545</Words>
  <Characters>3162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2022-06-20T07:09:00Z</cp:lastPrinted>
  <dcterms:created xsi:type="dcterms:W3CDTF">2023-08-30T07:15:00Z</dcterms:created>
  <dcterms:modified xsi:type="dcterms:W3CDTF">2023-08-30T07:15:00Z</dcterms:modified>
</cp:coreProperties>
</file>