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F41F93" w:rsidRDefault="00F41F9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6F76A3" w:rsidRDefault="006F76A3" w:rsidP="00B1716B">
      <w:pPr>
        <w:pStyle w:val="a8"/>
        <w:ind w:left="709" w:right="674" w:firstLine="0"/>
        <w:rPr>
          <w:bCs/>
          <w:szCs w:val="28"/>
        </w:rPr>
      </w:pPr>
    </w:p>
    <w:p w:rsidR="00B1716B" w:rsidRDefault="00B1716B" w:rsidP="00B1716B">
      <w:pPr>
        <w:pStyle w:val="a8"/>
        <w:ind w:left="709" w:right="674" w:firstLine="0"/>
        <w:rPr>
          <w:szCs w:val="28"/>
        </w:rPr>
      </w:pPr>
      <w:r w:rsidRPr="009612ED">
        <w:rPr>
          <w:bCs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Pr="009612ED">
        <w:t>Оніщенка Руслана Ілліча</w:t>
      </w:r>
      <w:r w:rsidR="00AF2672">
        <w:t xml:space="preserve"> </w:t>
      </w:r>
      <w:r w:rsidRPr="009612ED">
        <w:t>щодо відповідності Конституції Украї</w:t>
      </w:r>
      <w:r>
        <w:t xml:space="preserve">ни (конституційності) приписів </w:t>
      </w:r>
      <w:r w:rsidRPr="009612ED">
        <w:t>частини шостої статті 615 Кримінального процесуального кодексу України в редакції Закону України «Про внесення змін до Кримінального процесуального</w:t>
      </w:r>
      <w:r>
        <w:t xml:space="preserve"> кодексу України та Закону України „Про попереднє ув’язнення“ щодо додаткового регулювання забезпечення діяльності правоохоронних органів</w:t>
      </w:r>
      <w:r>
        <w:br/>
      </w:r>
      <w:r w:rsidR="00AF2672">
        <w:t xml:space="preserve"> </w:t>
      </w:r>
      <w:r>
        <w:t xml:space="preserve">в умовах воєнного стану» від 3 березня 2022 року </w:t>
      </w:r>
      <w:r w:rsidR="00AF2672">
        <w:t xml:space="preserve">№ </w:t>
      </w:r>
      <w:r>
        <w:t>2111–ІХ</w:t>
      </w:r>
    </w:p>
    <w:p w:rsidR="00B1716B" w:rsidRDefault="00B1716B" w:rsidP="00B1716B">
      <w:pPr>
        <w:ind w:left="709" w:right="1134"/>
        <w:jc w:val="both"/>
        <w:rPr>
          <w:b/>
          <w:bCs/>
          <w:szCs w:val="28"/>
        </w:rPr>
      </w:pPr>
    </w:p>
    <w:p w:rsidR="00B1716B" w:rsidRPr="00632755" w:rsidRDefault="00B1716B" w:rsidP="00B1716B">
      <w:pPr>
        <w:ind w:left="709" w:right="1134"/>
        <w:jc w:val="both"/>
        <w:rPr>
          <w:b/>
          <w:bCs/>
          <w:szCs w:val="28"/>
        </w:rPr>
      </w:pPr>
    </w:p>
    <w:p w:rsidR="00AF2672" w:rsidRDefault="00B1716B" w:rsidP="00B1716B">
      <w:pPr>
        <w:pStyle w:val="p1"/>
        <w:spacing w:before="0" w:beforeAutospacing="0" w:after="0" w:afterAutospacing="0"/>
        <w:ind w:right="423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63275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63275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AF267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3-49/2022(107/22</w:t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</w:p>
    <w:p w:rsidR="00B1716B" w:rsidRPr="00632755" w:rsidRDefault="00B1716B" w:rsidP="00B1716B">
      <w:pPr>
        <w:pStyle w:val="p1"/>
        <w:spacing w:before="0" w:beforeAutospacing="0" w:after="0" w:afterAutospacing="0"/>
        <w:ind w:right="423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 серпня</w:t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2022</w:t>
      </w:r>
      <w:r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B1716B" w:rsidRPr="00632755" w:rsidRDefault="00AF2672" w:rsidP="00B1716B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B1716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84</w:t>
      </w:r>
      <w:r w:rsidR="00B1716B"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-1</w:t>
      </w:r>
      <w:r w:rsidR="00B1716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(І)</w:t>
      </w:r>
      <w:bookmarkEnd w:id="0"/>
      <w:r w:rsidR="00B1716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/2022</w:t>
      </w:r>
    </w:p>
    <w:p w:rsidR="00B1716B" w:rsidRDefault="00B1716B" w:rsidP="00B1716B">
      <w:pPr>
        <w:jc w:val="both"/>
        <w:rPr>
          <w:sz w:val="28"/>
          <w:szCs w:val="28"/>
        </w:rPr>
      </w:pPr>
    </w:p>
    <w:p w:rsidR="00B1716B" w:rsidRPr="00632755" w:rsidRDefault="00B1716B" w:rsidP="00B1716B">
      <w:pPr>
        <w:jc w:val="both"/>
        <w:rPr>
          <w:sz w:val="28"/>
          <w:szCs w:val="28"/>
        </w:rPr>
      </w:pPr>
    </w:p>
    <w:p w:rsidR="00B1716B" w:rsidRPr="00632755" w:rsidRDefault="00B1716B" w:rsidP="007C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755">
        <w:rPr>
          <w:sz w:val="28"/>
          <w:szCs w:val="28"/>
        </w:rPr>
        <w:t xml:space="preserve">Перша колегія суддів Першого сенату Конституційного Суду України </w:t>
      </w:r>
      <w:r>
        <w:rPr>
          <w:sz w:val="28"/>
          <w:szCs w:val="28"/>
        </w:rPr>
        <w:br/>
      </w:r>
      <w:r w:rsidRPr="00632755">
        <w:rPr>
          <w:sz w:val="28"/>
          <w:szCs w:val="28"/>
        </w:rPr>
        <w:t>у складі:</w:t>
      </w:r>
    </w:p>
    <w:p w:rsidR="00B1716B" w:rsidRPr="00632755" w:rsidRDefault="00B1716B" w:rsidP="007C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16B" w:rsidRPr="00632755" w:rsidRDefault="00B1716B" w:rsidP="007C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Колісник Віктор Павлович (голова засідання, доповідач)</w:t>
      </w:r>
      <w:r w:rsidRPr="00632755">
        <w:rPr>
          <w:sz w:val="28"/>
          <w:szCs w:val="28"/>
        </w:rPr>
        <w:t>,</w:t>
      </w:r>
    </w:p>
    <w:p w:rsidR="00B1716B" w:rsidRPr="00632755" w:rsidRDefault="00B1716B" w:rsidP="007C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Кичун Віктор Іванович</w:t>
      </w:r>
      <w:r w:rsidRPr="00632755">
        <w:rPr>
          <w:sz w:val="28"/>
          <w:szCs w:val="28"/>
        </w:rPr>
        <w:t>,</w:t>
      </w:r>
    </w:p>
    <w:p w:rsidR="00B1716B" w:rsidRPr="00632755" w:rsidRDefault="00B1716B" w:rsidP="007C1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Філюк Петро Тодосьович</w:t>
      </w:r>
      <w:r w:rsidRPr="00632755">
        <w:rPr>
          <w:sz w:val="28"/>
          <w:szCs w:val="28"/>
        </w:rPr>
        <w:t>,</w:t>
      </w:r>
    </w:p>
    <w:p w:rsidR="00B1716B" w:rsidRPr="00632755" w:rsidRDefault="00B1716B" w:rsidP="007C16F1">
      <w:pPr>
        <w:ind w:firstLine="709"/>
        <w:jc w:val="both"/>
        <w:rPr>
          <w:sz w:val="28"/>
          <w:szCs w:val="28"/>
        </w:rPr>
      </w:pPr>
    </w:p>
    <w:p w:rsidR="00B1716B" w:rsidRPr="00352126" w:rsidRDefault="00B1716B" w:rsidP="006F76A3">
      <w:pPr>
        <w:pStyle w:val="20"/>
        <w:spacing w:after="0" w:line="360" w:lineRule="auto"/>
        <w:ind w:firstLine="709"/>
        <w:jc w:val="both"/>
      </w:pPr>
      <w:r w:rsidRPr="00083EC9">
        <w:t xml:space="preserve">розглянула на засіданні питання про відкриття конституційного провадження у справі за конституційною скаргою </w:t>
      </w:r>
      <w:r>
        <w:t>Оніщенка Руслана Ілліча</w:t>
      </w:r>
      <w:r w:rsidR="00AF2672">
        <w:t xml:space="preserve"> </w:t>
      </w:r>
      <w:r>
        <w:t xml:space="preserve">щодо відповідності Конституції України (конституційності) приписів </w:t>
      </w:r>
      <w:r>
        <w:br/>
        <w:t xml:space="preserve">частини шостої статті 615 Кримінального процесуального кодексу України в редакції Закону України «Про внесення змін до Кримінального процесуального кодексу України та Закону України „Про попереднє ув’язнення“ щодо додаткового регулювання забезпечення діяльності правоохоронних органів в умовах воєнного стану» від 3 березня 2022 року </w:t>
      </w:r>
      <w:r w:rsidR="00AF2672">
        <w:t xml:space="preserve">№ </w:t>
      </w:r>
      <w:r>
        <w:t>2111–ІХ</w:t>
      </w:r>
      <w:r w:rsidRPr="002A0CF3">
        <w:t>.</w:t>
      </w:r>
    </w:p>
    <w:p w:rsidR="00B1716B" w:rsidRPr="00A51C20" w:rsidRDefault="00B1716B" w:rsidP="006F76A3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632755">
        <w:rPr>
          <w:sz w:val="28"/>
          <w:szCs w:val="28"/>
        </w:rPr>
        <w:lastRenderedPageBreak/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B1716B" w:rsidRDefault="00B1716B" w:rsidP="006F76A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1716B" w:rsidRDefault="00B1716B" w:rsidP="006F76A3">
      <w:pPr>
        <w:spacing w:line="360" w:lineRule="auto"/>
        <w:ind w:right="-2"/>
        <w:contextualSpacing/>
        <w:jc w:val="center"/>
        <w:rPr>
          <w:b/>
          <w:sz w:val="28"/>
          <w:szCs w:val="28"/>
        </w:rPr>
      </w:pPr>
      <w:r w:rsidRPr="00632755">
        <w:rPr>
          <w:b/>
          <w:sz w:val="28"/>
          <w:szCs w:val="28"/>
        </w:rPr>
        <w:t>у с т а н о в и л а:</w:t>
      </w:r>
    </w:p>
    <w:p w:rsidR="00B1716B" w:rsidRPr="00A51C20" w:rsidRDefault="00B1716B" w:rsidP="006F76A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1716B" w:rsidRDefault="006F76A3" w:rsidP="006F76A3">
      <w:pPr>
        <w:pStyle w:val="20"/>
        <w:spacing w:after="0" w:line="360" w:lineRule="auto"/>
        <w:ind w:firstLine="709"/>
        <w:jc w:val="both"/>
      </w:pPr>
      <w:bookmarkStart w:id="1" w:name="_Hlk40441461"/>
      <w:r>
        <w:t>1. </w:t>
      </w:r>
      <w:r w:rsidR="00B1716B">
        <w:t>Оніщенко Р.І.</w:t>
      </w:r>
      <w:r w:rsidR="00B1716B" w:rsidRPr="002A0CF3">
        <w:t xml:space="preserve"> звернувся до Конституційного Суду України з клопотанням перевірити на відповідність </w:t>
      </w:r>
      <w:r w:rsidR="00500DFF">
        <w:t>приписам статті 3, частин</w:t>
      </w:r>
      <w:r w:rsidR="00B1716B">
        <w:t xml:space="preserve"> першої, другої </w:t>
      </w:r>
      <w:r w:rsidR="00B1716B" w:rsidRPr="002A0CF3">
        <w:t>статті</w:t>
      </w:r>
      <w:r w:rsidR="00B1716B">
        <w:t xml:space="preserve"> 8,</w:t>
      </w:r>
      <w:r w:rsidR="00B1716B" w:rsidRPr="002A0CF3">
        <w:t xml:space="preserve"> част</w:t>
      </w:r>
      <w:r w:rsidR="00B1716B">
        <w:t>ини першої статті 29, частин першої</w:t>
      </w:r>
      <w:r w:rsidR="00B1716B" w:rsidRPr="002A0CF3">
        <w:t xml:space="preserve">, </w:t>
      </w:r>
      <w:r w:rsidR="00B1716B">
        <w:t xml:space="preserve">другої </w:t>
      </w:r>
      <w:r w:rsidR="00B1716B" w:rsidRPr="002A0CF3">
        <w:t>статті</w:t>
      </w:r>
      <w:r w:rsidR="00B1716B">
        <w:t xml:space="preserve"> 55, </w:t>
      </w:r>
      <w:r>
        <w:br/>
      </w:r>
      <w:r w:rsidR="00B1716B" w:rsidRPr="002A0CF3">
        <w:t>част</w:t>
      </w:r>
      <w:r w:rsidR="00B1716B">
        <w:t>ини першої статті 59, частини другої статті 63, частин першої</w:t>
      </w:r>
      <w:r w:rsidR="00B1716B" w:rsidRPr="002A0CF3">
        <w:t xml:space="preserve">, </w:t>
      </w:r>
      <w:r w:rsidR="00B1716B">
        <w:t xml:space="preserve">другої </w:t>
      </w:r>
      <w:r>
        <w:br/>
      </w:r>
      <w:r w:rsidR="00B1716B" w:rsidRPr="002A0CF3">
        <w:t>статті</w:t>
      </w:r>
      <w:r w:rsidR="00B1716B">
        <w:t xml:space="preserve"> 64, частин першої, другої, третьої статті 129 </w:t>
      </w:r>
      <w:r w:rsidR="00B1716B" w:rsidRPr="002A0CF3">
        <w:t xml:space="preserve">Конституції України (конституційність) </w:t>
      </w:r>
      <w:r w:rsidR="00B1716B">
        <w:t>приписи частини шостої статті 615</w:t>
      </w:r>
      <w:r w:rsidR="00B1716B" w:rsidRPr="002A0CF3">
        <w:t xml:space="preserve"> </w:t>
      </w:r>
      <w:r w:rsidR="00B1716B">
        <w:t xml:space="preserve">Кримінального процесуального кодексу України в редакції Закону України «Про внесення змін до Кримінального процесуального кодексу України та Закону України „Про попереднє ув’язнення“ щодо додаткового регулювання забезпечення діяльності правоохоронних органів в умовах воєнного стану» від 3 березня 2022 року </w:t>
      </w:r>
      <w:r>
        <w:br/>
      </w:r>
      <w:r w:rsidR="00AF2672">
        <w:t xml:space="preserve">№ </w:t>
      </w:r>
      <w:r w:rsidR="00B1716B">
        <w:t>2111–ІХ (далі – Кодекс).</w:t>
      </w:r>
    </w:p>
    <w:p w:rsidR="00B1716B" w:rsidRPr="00B53AAE" w:rsidRDefault="00B1716B" w:rsidP="006F76A3">
      <w:pPr>
        <w:pStyle w:val="20"/>
        <w:spacing w:after="0" w:line="360" w:lineRule="auto"/>
        <w:ind w:firstLine="709"/>
        <w:jc w:val="both"/>
      </w:pPr>
      <w:r>
        <w:t xml:space="preserve">Відповідно до оспорюваних </w:t>
      </w:r>
      <w:r w:rsidR="00500DFF">
        <w:t>приписів Кодексу</w:t>
      </w:r>
      <w:r>
        <w:t xml:space="preserve"> у разі закінчення строку дії ухвали суду про тримання під вартою та неможливості розгляду судом питання про продовження строку тримання під вартою в установленому Кодексом порядку обраний запобіжний захід у вигляді тримання під вартою вважається продовженим до вирішення відповідного питання судом, але не більше ніж два місяці.</w:t>
      </w:r>
    </w:p>
    <w:bookmarkEnd w:id="1"/>
    <w:p w:rsidR="00B1716B" w:rsidRDefault="00B1716B" w:rsidP="006F76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1716B" w:rsidRPr="00946712" w:rsidRDefault="006F76A3" w:rsidP="006F76A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1716B" w:rsidRPr="00946712">
        <w:rPr>
          <w:color w:val="000000"/>
          <w:sz w:val="28"/>
          <w:szCs w:val="28"/>
        </w:rPr>
        <w:t>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B1716B" w:rsidRPr="00946712" w:rsidRDefault="00B1716B" w:rsidP="006F76A3">
      <w:pPr>
        <w:spacing w:line="360" w:lineRule="auto"/>
        <w:ind w:right="-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Згідно з Законом</w:t>
      </w:r>
      <w:r w:rsidRPr="00946712">
        <w:rPr>
          <w:color w:val="000000"/>
          <w:sz w:val="28"/>
        </w:rPr>
        <w:t xml:space="preserve"> України „Про Конституційний Суд України“ конституційна скарга вважається прийнятною за умов її відповідності вимогам, передбаченим, зокрема, статтею 55 цього закону</w:t>
      </w:r>
      <w:r>
        <w:rPr>
          <w:color w:val="000000"/>
          <w:sz w:val="28"/>
        </w:rPr>
        <w:t>, та</w:t>
      </w:r>
      <w:r w:rsidRPr="00946712">
        <w:rPr>
          <w:color w:val="000000"/>
          <w:sz w:val="28"/>
        </w:rPr>
        <w:t xml:space="preserve"> якщо </w:t>
      </w:r>
      <w:r>
        <w:rPr>
          <w:color w:val="000000"/>
          <w:sz w:val="28"/>
        </w:rPr>
        <w:t xml:space="preserve">вичерпано всі національні засоби юридичного захисту (за наявності ухваленого в порядку </w:t>
      </w:r>
      <w:r>
        <w:rPr>
          <w:color w:val="000000"/>
          <w:sz w:val="28"/>
        </w:rPr>
        <w:lastRenderedPageBreak/>
        <w:t>апеляційного перегляду судового рішення, яке набрало законної сили, а в разі передбаченої законом можливості касаційного оскарження – судового рішення, винесеного в порядку касаційного перегляду) (абзац перший, пункт 1 частини першої статті 77).</w:t>
      </w:r>
    </w:p>
    <w:p w:rsidR="00B1716B" w:rsidRDefault="00B1716B" w:rsidP="006F76A3">
      <w:pPr>
        <w:pStyle w:val="aa"/>
        <w:spacing w:before="0" w:after="0"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Оніщенко Р.І.</w:t>
      </w:r>
      <w:r w:rsidRPr="009467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використав усі національні засоби юридичного захисту, ухвала Шевченківського районного суду міста Києва від 17 березня 2022 року не є остаточним судовим рішенням у його справі та може бути оскаржена в апеляційному порядку. Автор клопотання не дотримав вимог частини першої статті 55, частини першої статті 56, пункту 1 частини першої статті 77 </w:t>
      </w:r>
      <w:r w:rsidRPr="00946712">
        <w:rPr>
          <w:color w:val="000000"/>
          <w:sz w:val="28"/>
          <w:szCs w:val="28"/>
          <w:lang w:eastAsia="uk-UA"/>
        </w:rPr>
        <w:t>Закону України „Про Конституційний Суд України“</w:t>
      </w:r>
      <w:r>
        <w:rPr>
          <w:color w:val="000000"/>
          <w:sz w:val="28"/>
          <w:szCs w:val="28"/>
          <w:lang w:eastAsia="uk-UA"/>
        </w:rPr>
        <w:t>.</w:t>
      </w:r>
    </w:p>
    <w:p w:rsidR="00B1716B" w:rsidRPr="00946712" w:rsidRDefault="00B1716B" w:rsidP="006F76A3">
      <w:pPr>
        <w:spacing w:line="360" w:lineRule="auto"/>
        <w:ind w:right="-2" w:firstLine="709"/>
        <w:jc w:val="both"/>
        <w:rPr>
          <w:color w:val="000000"/>
          <w:sz w:val="28"/>
        </w:rPr>
      </w:pPr>
      <w:r w:rsidRPr="00946712">
        <w:rPr>
          <w:color w:val="000000"/>
          <w:sz w:val="28"/>
          <w:szCs w:val="28"/>
          <w:lang w:eastAsia="uk-UA"/>
        </w:rPr>
        <w:t xml:space="preserve">Отже, конституційна скарга не відповідає </w:t>
      </w:r>
      <w:r>
        <w:rPr>
          <w:color w:val="000000"/>
          <w:sz w:val="28"/>
          <w:szCs w:val="28"/>
          <w:lang w:eastAsia="uk-UA"/>
        </w:rPr>
        <w:t xml:space="preserve">вимогам </w:t>
      </w:r>
      <w:r w:rsidRPr="00946712">
        <w:rPr>
          <w:color w:val="000000"/>
          <w:sz w:val="28"/>
          <w:szCs w:val="28"/>
          <w:lang w:eastAsia="uk-UA"/>
        </w:rPr>
        <w:t xml:space="preserve">пункту 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br/>
      </w:r>
      <w:r w:rsidRPr="00946712">
        <w:rPr>
          <w:color w:val="000000"/>
          <w:sz w:val="28"/>
          <w:szCs w:val="28"/>
          <w:lang w:eastAsia="uk-UA"/>
        </w:rPr>
        <w:t xml:space="preserve">частини </w:t>
      </w:r>
      <w:r w:rsidRPr="00946712">
        <w:rPr>
          <w:color w:val="000000"/>
          <w:sz w:val="28"/>
          <w:szCs w:val="28"/>
        </w:rPr>
        <w:t xml:space="preserve">першої </w:t>
      </w:r>
      <w:r w:rsidRPr="00946712">
        <w:rPr>
          <w:color w:val="000000"/>
          <w:sz w:val="28"/>
          <w:szCs w:val="28"/>
          <w:lang w:eastAsia="uk-UA"/>
        </w:rPr>
        <w:t xml:space="preserve">статті </w:t>
      </w:r>
      <w:r w:rsidRPr="00946712">
        <w:rPr>
          <w:color w:val="000000"/>
          <w:sz w:val="28"/>
          <w:szCs w:val="28"/>
        </w:rPr>
        <w:t>77</w:t>
      </w:r>
      <w:r w:rsidRPr="00946712">
        <w:rPr>
          <w:color w:val="000000"/>
          <w:sz w:val="28"/>
          <w:szCs w:val="28"/>
          <w:lang w:eastAsia="uk-UA"/>
        </w:rPr>
        <w:t xml:space="preserve"> Закону України „Про Конституційний Суд України“, що є підставою для відмови у відкритті конституційного провадження у справі згідно </w:t>
      </w:r>
      <w:r w:rsidRPr="00946712">
        <w:rPr>
          <w:color w:val="000000"/>
          <w:sz w:val="28"/>
        </w:rPr>
        <w:t>з пунктом 4 статті 62 цього закону – неприйнятність конституційної скарги.</w:t>
      </w:r>
    </w:p>
    <w:p w:rsidR="00B1716B" w:rsidRDefault="00B1716B" w:rsidP="006F76A3">
      <w:pPr>
        <w:spacing w:line="360" w:lineRule="auto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1716B" w:rsidRPr="00946712" w:rsidRDefault="00B1716B" w:rsidP="006F76A3">
      <w:pPr>
        <w:spacing w:line="360" w:lineRule="auto"/>
        <w:ind w:right="-2" w:firstLine="709"/>
        <w:jc w:val="both"/>
        <w:rPr>
          <w:color w:val="000000"/>
          <w:sz w:val="28"/>
          <w:szCs w:val="28"/>
          <w:lang w:eastAsia="uk-UA"/>
        </w:rPr>
      </w:pPr>
      <w:r w:rsidRPr="00946712">
        <w:rPr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946712">
        <w:rPr>
          <w:color w:val="000000"/>
          <w:sz w:val="28"/>
          <w:szCs w:val="28"/>
          <w:vertAlign w:val="superscript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946712">
        <w:rPr>
          <w:color w:val="000000"/>
          <w:sz w:val="28"/>
          <w:szCs w:val="28"/>
          <w:lang w:eastAsia="uk-UA"/>
        </w:rPr>
        <w:t>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B1716B" w:rsidRPr="00A51C20" w:rsidRDefault="00B1716B" w:rsidP="006F76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1716B" w:rsidRPr="00946712" w:rsidRDefault="00B1716B" w:rsidP="006F76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67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х в а л и л а:</w:t>
      </w:r>
    </w:p>
    <w:p w:rsidR="00B1716B" w:rsidRPr="00A51C20" w:rsidRDefault="00B1716B" w:rsidP="006F76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16B" w:rsidRDefault="00B1716B" w:rsidP="006F76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83EC9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</w:t>
      </w:r>
      <w:r w:rsidRPr="009612ED">
        <w:rPr>
          <w:rFonts w:ascii="Times New Roman" w:hAnsi="Times New Roman" w:cs="Times New Roman"/>
          <w:sz w:val="28"/>
          <w:szCs w:val="28"/>
          <w:lang w:val="uk-UA"/>
        </w:rPr>
        <w:t>відкритті конституційного провадження у справі за конституційною скаргою Оніщенка Руслана Ілліча</w:t>
      </w:r>
      <w:r w:rsidR="00AF2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2ED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 w:rsidRPr="009612ED">
        <w:rPr>
          <w:rFonts w:ascii="Times New Roman" w:hAnsi="Times New Roman" w:cs="Times New Roman"/>
          <w:sz w:val="28"/>
          <w:szCs w:val="28"/>
          <w:lang w:val="uk-UA"/>
        </w:rPr>
        <w:t xml:space="preserve"> частини шостої статті 615 Кримінального процесуального кодексу України в редакції Закону України «Про внесення змін до Кримінального процесуального кодексу України та Закону України „Про попереднє ув’язнення“</w:t>
      </w:r>
      <w:r w:rsidR="00AF2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2ED">
        <w:rPr>
          <w:rFonts w:ascii="Times New Roman" w:hAnsi="Times New Roman" w:cs="Times New Roman"/>
          <w:sz w:val="28"/>
          <w:szCs w:val="28"/>
          <w:lang w:val="uk-UA"/>
        </w:rPr>
        <w:t xml:space="preserve">щодо додаткового регулювання </w:t>
      </w:r>
      <w:r w:rsidRPr="009612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діяльності правоохоронних органів в умовах воєнного стану»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612ED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3 березня 2022 року </w:t>
      </w:r>
      <w:r w:rsidR="00AF267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2111–ІХ </w:t>
      </w:r>
      <w:r w:rsidRPr="009612ED">
        <w:rPr>
          <w:rFonts w:ascii="Times New Roman" w:hAnsi="Times New Roman" w:cs="Times New Roman"/>
          <w:sz w:val="28"/>
          <w:szCs w:val="28"/>
          <w:lang w:val="uk-UA" w:eastAsia="en-US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B1716B" w:rsidRPr="00035D0E" w:rsidRDefault="00B1716B" w:rsidP="006F76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16B" w:rsidRDefault="00B1716B" w:rsidP="006F76A3">
      <w:pPr>
        <w:pStyle w:val="a7"/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Ця Ухвала є остаточною.</w:t>
      </w:r>
    </w:p>
    <w:p w:rsidR="00025E0F" w:rsidRDefault="00025E0F">
      <w:pPr>
        <w:rPr>
          <w:sz w:val="28"/>
          <w:szCs w:val="28"/>
        </w:rPr>
      </w:pPr>
    </w:p>
    <w:p w:rsidR="00707C86" w:rsidRPr="00025E0F" w:rsidRDefault="00707C86">
      <w:pPr>
        <w:rPr>
          <w:sz w:val="28"/>
          <w:szCs w:val="28"/>
        </w:rPr>
      </w:pPr>
    </w:p>
    <w:p w:rsidR="00025E0F" w:rsidRPr="00025E0F" w:rsidRDefault="00025E0F">
      <w:pPr>
        <w:rPr>
          <w:sz w:val="28"/>
          <w:szCs w:val="28"/>
        </w:rPr>
      </w:pPr>
    </w:p>
    <w:p w:rsidR="00025E0F" w:rsidRPr="00025E0F" w:rsidRDefault="00025E0F" w:rsidP="00025E0F">
      <w:pPr>
        <w:pStyle w:val="a7"/>
        <w:ind w:left="3544" w:firstLine="567"/>
        <w:jc w:val="center"/>
        <w:rPr>
          <w:b/>
          <w:sz w:val="28"/>
          <w:szCs w:val="28"/>
        </w:rPr>
      </w:pPr>
      <w:r w:rsidRPr="00025E0F">
        <w:rPr>
          <w:b/>
          <w:sz w:val="28"/>
          <w:szCs w:val="28"/>
        </w:rPr>
        <w:t>ПЕРША КОЛЕГІЯ СУДДІВ</w:t>
      </w:r>
    </w:p>
    <w:p w:rsidR="00025E0F" w:rsidRPr="00025E0F" w:rsidRDefault="00025E0F" w:rsidP="00025E0F">
      <w:pPr>
        <w:pStyle w:val="a7"/>
        <w:ind w:left="3544" w:firstLine="567"/>
        <w:jc w:val="center"/>
        <w:rPr>
          <w:b/>
          <w:sz w:val="28"/>
          <w:szCs w:val="28"/>
        </w:rPr>
      </w:pPr>
      <w:r w:rsidRPr="00025E0F">
        <w:rPr>
          <w:b/>
          <w:sz w:val="28"/>
          <w:szCs w:val="28"/>
        </w:rPr>
        <w:t>ПЕРШОГО СЕНАТУ</w:t>
      </w:r>
    </w:p>
    <w:p w:rsidR="00025E0F" w:rsidRPr="00025E0F" w:rsidRDefault="00025E0F" w:rsidP="00025E0F">
      <w:pPr>
        <w:pStyle w:val="a7"/>
        <w:ind w:left="3544" w:firstLine="567"/>
        <w:jc w:val="center"/>
        <w:rPr>
          <w:b/>
          <w:sz w:val="28"/>
          <w:szCs w:val="28"/>
        </w:rPr>
      </w:pPr>
      <w:r w:rsidRPr="00025E0F">
        <w:rPr>
          <w:b/>
          <w:sz w:val="28"/>
          <w:szCs w:val="28"/>
        </w:rPr>
        <w:t>КОНСТИТУЦІЙНОГО СУДУ УКРАЇНИ</w:t>
      </w:r>
    </w:p>
    <w:p w:rsidR="00025E0F" w:rsidRPr="00025E0F" w:rsidRDefault="00025E0F">
      <w:pPr>
        <w:rPr>
          <w:sz w:val="28"/>
          <w:szCs w:val="28"/>
        </w:rPr>
      </w:pPr>
    </w:p>
    <w:sectPr w:rsidR="00025E0F" w:rsidRPr="00025E0F" w:rsidSect="006F76A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A3" w:rsidRDefault="006F76A3" w:rsidP="006F76A3">
      <w:r>
        <w:separator/>
      </w:r>
    </w:p>
  </w:endnote>
  <w:endnote w:type="continuationSeparator" w:id="0">
    <w:p w:rsidR="006F76A3" w:rsidRDefault="006F76A3" w:rsidP="006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7F" w:rsidRPr="004D48D6" w:rsidRDefault="00F41F93">
    <w:pPr>
      <w:pStyle w:val="a5"/>
      <w:rPr>
        <w:sz w:val="10"/>
        <w:szCs w:val="10"/>
      </w:rPr>
    </w:pPr>
    <w:r w:rsidRPr="004D48D6">
      <w:rPr>
        <w:sz w:val="10"/>
        <w:szCs w:val="10"/>
      </w:rPr>
      <w:fldChar w:fldCharType="begin"/>
    </w:r>
    <w:r w:rsidRPr="004D48D6">
      <w:rPr>
        <w:sz w:val="10"/>
        <w:szCs w:val="10"/>
      </w:rPr>
      <w:instrText xml:space="preserve"> FILENAME \p \* MERGEFORMAT </w:instrText>
    </w:r>
    <w:r w:rsidRPr="004D48D6">
      <w:rPr>
        <w:sz w:val="10"/>
        <w:szCs w:val="10"/>
      </w:rPr>
      <w:fldChar w:fldCharType="separate"/>
    </w:r>
    <w:r w:rsidR="00500DFF">
      <w:rPr>
        <w:noProof/>
        <w:sz w:val="10"/>
        <w:szCs w:val="10"/>
      </w:rPr>
      <w:t>G:\2022\Suddi\I senat\I koleg\21.docx</w:t>
    </w:r>
    <w:r w:rsidRPr="004D48D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D6" w:rsidRPr="004D48D6" w:rsidRDefault="00F41F93">
    <w:pPr>
      <w:pStyle w:val="a5"/>
      <w:rPr>
        <w:sz w:val="10"/>
        <w:szCs w:val="10"/>
      </w:rPr>
    </w:pPr>
    <w:r w:rsidRPr="004D48D6">
      <w:rPr>
        <w:sz w:val="10"/>
        <w:szCs w:val="10"/>
      </w:rPr>
      <w:fldChar w:fldCharType="begin"/>
    </w:r>
    <w:r w:rsidRPr="004D48D6">
      <w:rPr>
        <w:sz w:val="10"/>
        <w:szCs w:val="10"/>
      </w:rPr>
      <w:instrText xml:space="preserve"> FILENAME \p \* MERGEFORMAT </w:instrText>
    </w:r>
    <w:r w:rsidRPr="004D48D6">
      <w:rPr>
        <w:sz w:val="10"/>
        <w:szCs w:val="10"/>
      </w:rPr>
      <w:fldChar w:fldCharType="separate"/>
    </w:r>
    <w:r w:rsidR="00500DFF">
      <w:rPr>
        <w:noProof/>
        <w:sz w:val="10"/>
        <w:szCs w:val="10"/>
      </w:rPr>
      <w:t>G:\2022\Suddi\I senat\I koleg\21.docx</w:t>
    </w:r>
    <w:r w:rsidRPr="004D48D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A3" w:rsidRDefault="006F76A3" w:rsidP="006F76A3">
      <w:r>
        <w:separator/>
      </w:r>
    </w:p>
  </w:footnote>
  <w:footnote w:type="continuationSeparator" w:id="0">
    <w:p w:rsidR="006F76A3" w:rsidRDefault="006F76A3" w:rsidP="006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783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76A3" w:rsidRPr="006F76A3" w:rsidRDefault="006F76A3">
        <w:pPr>
          <w:pStyle w:val="a3"/>
          <w:jc w:val="center"/>
          <w:rPr>
            <w:sz w:val="28"/>
            <w:szCs w:val="28"/>
          </w:rPr>
        </w:pPr>
        <w:r w:rsidRPr="006F76A3">
          <w:rPr>
            <w:sz w:val="28"/>
            <w:szCs w:val="28"/>
          </w:rPr>
          <w:fldChar w:fldCharType="begin"/>
        </w:r>
        <w:r w:rsidRPr="006F76A3">
          <w:rPr>
            <w:sz w:val="28"/>
            <w:szCs w:val="28"/>
          </w:rPr>
          <w:instrText>PAGE   \* MERGEFORMAT</w:instrText>
        </w:r>
        <w:r w:rsidRPr="006F76A3">
          <w:rPr>
            <w:sz w:val="28"/>
            <w:szCs w:val="28"/>
          </w:rPr>
          <w:fldChar w:fldCharType="separate"/>
        </w:r>
        <w:r w:rsidR="00AF2672">
          <w:rPr>
            <w:noProof/>
            <w:sz w:val="28"/>
            <w:szCs w:val="28"/>
          </w:rPr>
          <w:t>2</w:t>
        </w:r>
        <w:r w:rsidRPr="006F76A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B"/>
    <w:rsid w:val="00025E0F"/>
    <w:rsid w:val="002869C7"/>
    <w:rsid w:val="003D5370"/>
    <w:rsid w:val="004A5ABC"/>
    <w:rsid w:val="00500DFF"/>
    <w:rsid w:val="005F5784"/>
    <w:rsid w:val="006F76A3"/>
    <w:rsid w:val="00707C86"/>
    <w:rsid w:val="007123A6"/>
    <w:rsid w:val="007C16F1"/>
    <w:rsid w:val="00A40003"/>
    <w:rsid w:val="00AF2672"/>
    <w:rsid w:val="00B1716B"/>
    <w:rsid w:val="00B72CA8"/>
    <w:rsid w:val="00DF3351"/>
    <w:rsid w:val="00E35E39"/>
    <w:rsid w:val="00F21B98"/>
    <w:rsid w:val="00F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3C9A-D7AA-4C95-9BE4-CC26EA2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6A3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B1716B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HTML">
    <w:name w:val="HTML Preformatted"/>
    <w:basedOn w:val="a"/>
    <w:link w:val="HTML0"/>
    <w:semiHidden/>
    <w:rsid w:val="00B17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B1716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1716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B17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16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17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1716B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B1716B"/>
    <w:pPr>
      <w:ind w:firstLine="720"/>
      <w:jc w:val="both"/>
    </w:pPr>
    <w:rPr>
      <w:rFonts w:eastAsia="Calibri"/>
      <w:b/>
      <w:sz w:val="28"/>
      <w:szCs w:val="20"/>
    </w:rPr>
  </w:style>
  <w:style w:type="character" w:customStyle="1" w:styleId="a9">
    <w:name w:val="Основний текст з відступом Знак"/>
    <w:basedOn w:val="a0"/>
    <w:link w:val="a8"/>
    <w:rsid w:val="00B1716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a">
    <w:name w:val="?вичайний (веб)"/>
    <w:basedOn w:val="a"/>
    <w:uiPriority w:val="99"/>
    <w:rsid w:val="00B1716B"/>
    <w:pPr>
      <w:widowControl w:val="0"/>
      <w:autoSpaceDE w:val="0"/>
      <w:autoSpaceDN w:val="0"/>
      <w:adjustRightInd w:val="0"/>
      <w:spacing w:before="99" w:after="99"/>
    </w:pPr>
  </w:style>
  <w:style w:type="character" w:customStyle="1" w:styleId="2">
    <w:name w:val="Основной текст (2)_"/>
    <w:link w:val="20"/>
    <w:locked/>
    <w:rsid w:val="00B1716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16B"/>
    <w:pPr>
      <w:widowControl w:val="0"/>
      <w:shd w:val="clear" w:color="auto" w:fill="FFFFFF"/>
      <w:spacing w:after="60" w:line="0" w:lineRule="atLeast"/>
      <w:jc w:val="right"/>
    </w:pPr>
    <w:rPr>
      <w:rFonts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F7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Алєксєйченко</dc:creator>
  <cp:keywords/>
  <dc:description/>
  <cp:lastModifiedBy>Віктор В. Чередниченко</cp:lastModifiedBy>
  <cp:revision>2</cp:revision>
  <cp:lastPrinted>2022-08-03T08:02:00Z</cp:lastPrinted>
  <dcterms:created xsi:type="dcterms:W3CDTF">2023-08-30T07:20:00Z</dcterms:created>
  <dcterms:modified xsi:type="dcterms:W3CDTF">2023-08-30T07:20:00Z</dcterms:modified>
</cp:coreProperties>
</file>