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06F2" w:rsidRPr="00C806F2" w:rsidRDefault="00C806F2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C806F2" w:rsidRDefault="001F24FF" w:rsidP="00C806F2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відмову у відкритті</w:t>
      </w:r>
      <w:r w:rsidR="00482EF5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конституційного провадження у справі </w:t>
      </w:r>
      <w:r w:rsidR="00482EF5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конституційною скаргою </w:t>
      </w:r>
      <w:r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>Черних Андрія Федоровича</w:t>
      </w:r>
      <w:r w:rsidR="00482EF5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положень частини першої статті 4, пунктів 1, 2 частини</w:t>
      </w:r>
      <w:r w:rsidR="00C806F2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другої статті 7 Закону України</w:t>
      </w:r>
      <w:r w:rsidR="00C806F2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Pr="00C806F2">
        <w:rPr>
          <w:rStyle w:val="a9"/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C806F2">
        <w:rPr>
          <w:rStyle w:val="a9"/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482EF5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806F2" w:rsidRPr="00C806F2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</w:p>
    <w:p w:rsidR="00482EF5" w:rsidRPr="00C806F2" w:rsidRDefault="00482EF5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806F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C806F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F85E3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F85E3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1B141E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3-101/2021(228/21)</w:t>
      </w:r>
    </w:p>
    <w:p w:rsidR="00482EF5" w:rsidRPr="00C806F2" w:rsidRDefault="00345A1E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13 липня </w:t>
      </w:r>
      <w:r w:rsidR="00482EF5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</w:t>
      </w:r>
      <w:r w:rsidR="001F24FF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482EF5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82EF5" w:rsidRPr="00C806F2" w:rsidRDefault="00F85E3F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345A1E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98</w:t>
      </w:r>
      <w:r w:rsidR="001B141E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-2(II)</w:t>
      </w:r>
      <w:bookmarkEnd w:id="0"/>
      <w:r w:rsidR="001A6C6C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482EF5" w:rsidRPr="00C806F2" w:rsidRDefault="00482EF5" w:rsidP="00C806F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C806F2" w:rsidRDefault="001F24FF" w:rsidP="00C806F2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806F2">
        <w:rPr>
          <w:rFonts w:cs="Times New Roman"/>
          <w:szCs w:val="28"/>
          <w:lang w:eastAsia="ru-RU"/>
        </w:rPr>
        <w:t xml:space="preserve">Друга колегія суддів </w:t>
      </w:r>
      <w:r w:rsidR="00482EF5" w:rsidRPr="00C806F2">
        <w:rPr>
          <w:rFonts w:cs="Times New Roman"/>
          <w:szCs w:val="28"/>
          <w:lang w:eastAsia="ru-RU"/>
        </w:rPr>
        <w:t>Друг</w:t>
      </w:r>
      <w:r w:rsidRPr="00C806F2">
        <w:rPr>
          <w:rFonts w:cs="Times New Roman"/>
          <w:szCs w:val="28"/>
          <w:lang w:eastAsia="ru-RU"/>
        </w:rPr>
        <w:t>ого</w:t>
      </w:r>
      <w:r w:rsidR="00482EF5" w:rsidRPr="00C806F2">
        <w:rPr>
          <w:rFonts w:cs="Times New Roman"/>
          <w:szCs w:val="28"/>
          <w:lang w:eastAsia="ru-RU"/>
        </w:rPr>
        <w:t xml:space="preserve"> сенат</w:t>
      </w:r>
      <w:r w:rsidRPr="00C806F2">
        <w:rPr>
          <w:rFonts w:cs="Times New Roman"/>
          <w:szCs w:val="28"/>
          <w:lang w:eastAsia="ru-RU"/>
        </w:rPr>
        <w:t>у</w:t>
      </w:r>
      <w:r w:rsidR="00482EF5" w:rsidRPr="00C806F2">
        <w:rPr>
          <w:rFonts w:cs="Times New Roman"/>
          <w:szCs w:val="28"/>
          <w:lang w:eastAsia="ru-RU"/>
        </w:rPr>
        <w:t xml:space="preserve"> Конституційного Суду України у складі суддів:</w:t>
      </w:r>
    </w:p>
    <w:p w:rsidR="00482EF5" w:rsidRPr="00C806F2" w:rsidRDefault="00482EF5" w:rsidP="00C806F2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F85E3F" w:rsidRDefault="001F24FF" w:rsidP="00C806F2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806F2">
        <w:rPr>
          <w:rFonts w:cs="Times New Roman"/>
          <w:szCs w:val="28"/>
          <w:lang w:eastAsia="ru-RU"/>
        </w:rPr>
        <w:t xml:space="preserve">Сліденка Ігоря Дмитровича </w:t>
      </w:r>
      <w:r w:rsidR="00482EF5" w:rsidRPr="00C806F2">
        <w:rPr>
          <w:rFonts w:cs="Times New Roman"/>
          <w:szCs w:val="28"/>
          <w:lang w:eastAsia="ru-RU"/>
        </w:rPr>
        <w:t>– головуючого,</w:t>
      </w:r>
    </w:p>
    <w:p w:rsidR="00482EF5" w:rsidRPr="00C806F2" w:rsidRDefault="001F24FF" w:rsidP="00C806F2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806F2">
        <w:rPr>
          <w:rFonts w:cs="Times New Roman"/>
          <w:szCs w:val="28"/>
          <w:lang w:eastAsia="ru-RU"/>
        </w:rPr>
        <w:t>Головатого Сергія Петровича</w:t>
      </w:r>
      <w:r w:rsidR="00482EF5" w:rsidRPr="00C806F2">
        <w:rPr>
          <w:rFonts w:cs="Times New Roman"/>
          <w:szCs w:val="28"/>
          <w:lang w:eastAsia="ru-RU"/>
        </w:rPr>
        <w:t>,</w:t>
      </w:r>
    </w:p>
    <w:p w:rsidR="00482EF5" w:rsidRPr="00C806F2" w:rsidRDefault="00482EF5" w:rsidP="00C806F2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806F2">
        <w:rPr>
          <w:rFonts w:cs="Times New Roman"/>
          <w:szCs w:val="28"/>
          <w:lang w:eastAsia="ru-RU"/>
        </w:rPr>
        <w:t>Лемака Василя Васильовича – доповідача,</w:t>
      </w:r>
    </w:p>
    <w:p w:rsidR="00482EF5" w:rsidRPr="00C806F2" w:rsidRDefault="00482EF5" w:rsidP="00C806F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EF5" w:rsidRPr="00C806F2" w:rsidRDefault="001F24FF" w:rsidP="00C806F2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</w:t>
      </w:r>
      <w:r w:rsidR="00482EF5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озгляну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ла</w:t>
      </w:r>
      <w:r w:rsidR="00482EF5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на засіданні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питання про відкриття конституційного провадження у справі за конституційною скаргою Черних Андрія Федоровича щодо відповідності Конституції Укра</w:t>
      </w:r>
      <w:r w:rsid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їни (конституційності) положень</w:t>
      </w:r>
      <w:r w:rsid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частини першої статті 4, пунктів 1, 2 частини другої статті 7 Закону України „Про статус ветеранів війни, гарантії їх соціального захисту“ від 22 жовтня 1993 року </w:t>
      </w:r>
      <w:r w:rsidR="00F85E3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3551–XII (Відомості Верховної Ради України, 1993</w:t>
      </w:r>
      <w:r w:rsidR="00A570EB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р.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</w:t>
      </w:r>
      <w:r w:rsidR="00F85E3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45, ст. 425)</w:t>
      </w:r>
      <w:r w:rsidR="00A570EB"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зі змінами</w:t>
      </w:r>
      <w:r w:rsidRPr="00C806F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482EF5" w:rsidRPr="00C806F2" w:rsidRDefault="00482EF5" w:rsidP="00C806F2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C806F2" w:rsidRDefault="00482EF5" w:rsidP="00C806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6F2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</w:t>
      </w:r>
      <w:r w:rsidR="001F24FF" w:rsidRPr="00C806F2">
        <w:rPr>
          <w:rFonts w:ascii="Times New Roman" w:hAnsi="Times New Roman" w:cs="Times New Roman"/>
          <w:sz w:val="28"/>
          <w:szCs w:val="28"/>
          <w:lang w:val="uk-UA"/>
        </w:rPr>
        <w:t xml:space="preserve"> Друга колегія суддів Другого сенату</w:t>
      </w:r>
      <w:r w:rsidRPr="00C806F2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1F24FF" w:rsidRPr="00C806F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806F2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1F24FF" w:rsidRPr="00C806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6F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EA0E25" w:rsidRPr="00C806F2" w:rsidRDefault="00EA0E25" w:rsidP="00C806F2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482EF5" w:rsidRPr="00C806F2" w:rsidRDefault="00482EF5" w:rsidP="00C806F2">
      <w:pPr>
        <w:spacing w:after="0" w:line="360" w:lineRule="auto"/>
        <w:jc w:val="center"/>
        <w:rPr>
          <w:rFonts w:cs="Times New Roman"/>
          <w:b/>
          <w:szCs w:val="28"/>
        </w:rPr>
      </w:pPr>
      <w:r w:rsidRPr="00C806F2">
        <w:rPr>
          <w:rFonts w:cs="Times New Roman"/>
          <w:b/>
          <w:szCs w:val="28"/>
        </w:rPr>
        <w:lastRenderedPageBreak/>
        <w:t xml:space="preserve">у с т а н о в и </w:t>
      </w:r>
      <w:r w:rsidR="001F24FF" w:rsidRPr="00C806F2">
        <w:rPr>
          <w:rFonts w:cs="Times New Roman"/>
          <w:b/>
          <w:szCs w:val="28"/>
        </w:rPr>
        <w:t>л а</w:t>
      </w:r>
      <w:r w:rsidRPr="00C806F2">
        <w:rPr>
          <w:rFonts w:cs="Times New Roman"/>
          <w:b/>
          <w:szCs w:val="28"/>
        </w:rPr>
        <w:t>:</w:t>
      </w:r>
    </w:p>
    <w:p w:rsidR="00482EF5" w:rsidRPr="00C806F2" w:rsidRDefault="00482EF5" w:rsidP="00C806F2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482EF5" w:rsidRPr="00C806F2" w:rsidRDefault="00482EF5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Fonts w:cs="Times New Roman"/>
          <w:szCs w:val="28"/>
        </w:rPr>
        <w:t xml:space="preserve">1. </w:t>
      </w:r>
      <w:r w:rsidR="005E1663" w:rsidRPr="00C806F2">
        <w:rPr>
          <w:rFonts w:cs="Times New Roman"/>
          <w:szCs w:val="28"/>
        </w:rPr>
        <w:t>Черних А.Ф.</w:t>
      </w:r>
      <w:r w:rsidRPr="00C806F2">
        <w:rPr>
          <w:rStyle w:val="a9"/>
          <w:rFonts w:cs="Times New Roman"/>
          <w:color w:val="000000"/>
          <w:szCs w:val="28"/>
        </w:rPr>
        <w:t xml:space="preserve"> звернувся до Конституційного Суду України з клопотанням розглянути питання щодо відповідності </w:t>
      </w:r>
      <w:r w:rsidR="006C5A26" w:rsidRPr="00C806F2">
        <w:rPr>
          <w:rStyle w:val="a9"/>
          <w:rFonts w:cs="Times New Roman"/>
          <w:color w:val="000000"/>
          <w:szCs w:val="28"/>
        </w:rPr>
        <w:t>частині першій статті 8, статті 21, частинам першій, другій статті 24,</w:t>
      </w:r>
      <w:r w:rsidR="002F0BBB" w:rsidRPr="00C806F2">
        <w:rPr>
          <w:rStyle w:val="a9"/>
          <w:rFonts w:cs="Times New Roman"/>
          <w:color w:val="000000"/>
          <w:szCs w:val="28"/>
        </w:rPr>
        <w:t xml:space="preserve"> частині першій статті 46,</w:t>
      </w:r>
      <w:r w:rsidR="006C5A26" w:rsidRPr="00C806F2">
        <w:rPr>
          <w:rStyle w:val="a9"/>
          <w:rFonts w:cs="Times New Roman"/>
          <w:color w:val="000000"/>
          <w:szCs w:val="28"/>
        </w:rPr>
        <w:t xml:space="preserve"> частині першій статті 57 Конституції України </w:t>
      </w:r>
      <w:r w:rsidRPr="00C806F2">
        <w:rPr>
          <w:rStyle w:val="a9"/>
          <w:rFonts w:cs="Times New Roman"/>
          <w:color w:val="000000"/>
          <w:szCs w:val="28"/>
        </w:rPr>
        <w:t>(конституційності)</w:t>
      </w:r>
      <w:r w:rsidR="005E1663" w:rsidRPr="00C806F2">
        <w:rPr>
          <w:rStyle w:val="a9"/>
          <w:rFonts w:cs="Times New Roman"/>
          <w:color w:val="000000"/>
          <w:szCs w:val="28"/>
        </w:rPr>
        <w:t xml:space="preserve"> положень частини першої статті 4, пунктів 1, 2 частини другої статті 7 Закону України „Про статус ветеранів війни, гарантії їх соціального з</w:t>
      </w:r>
      <w:r w:rsidR="00C806F2">
        <w:rPr>
          <w:rStyle w:val="a9"/>
          <w:rFonts w:cs="Times New Roman"/>
          <w:color w:val="000000"/>
          <w:szCs w:val="28"/>
        </w:rPr>
        <w:t>ахисту“ від 22 жовтня 1993 року</w:t>
      </w:r>
      <w:r w:rsidR="00C806F2">
        <w:rPr>
          <w:rStyle w:val="a9"/>
          <w:rFonts w:cs="Times New Roman"/>
          <w:color w:val="000000"/>
          <w:szCs w:val="28"/>
        </w:rPr>
        <w:br/>
      </w:r>
      <w:r w:rsidR="00F85E3F">
        <w:rPr>
          <w:rStyle w:val="a9"/>
          <w:rFonts w:cs="Times New Roman"/>
          <w:color w:val="000000"/>
          <w:szCs w:val="28"/>
        </w:rPr>
        <w:t xml:space="preserve">№ </w:t>
      </w:r>
      <w:r w:rsidR="005E1663" w:rsidRPr="00C806F2">
        <w:rPr>
          <w:rStyle w:val="a9"/>
          <w:rFonts w:cs="Times New Roman"/>
          <w:color w:val="000000"/>
          <w:szCs w:val="28"/>
        </w:rPr>
        <w:t>3551–XII</w:t>
      </w:r>
      <w:r w:rsidR="00A570EB" w:rsidRPr="00C806F2">
        <w:rPr>
          <w:rStyle w:val="a9"/>
          <w:rFonts w:cs="Times New Roman"/>
          <w:color w:val="000000"/>
          <w:szCs w:val="28"/>
        </w:rPr>
        <w:t xml:space="preserve"> зі змінами</w:t>
      </w:r>
      <w:r w:rsidR="005E1663" w:rsidRPr="00C806F2">
        <w:rPr>
          <w:rStyle w:val="a9"/>
          <w:rFonts w:cs="Times New Roman"/>
          <w:color w:val="000000"/>
          <w:szCs w:val="28"/>
        </w:rPr>
        <w:t xml:space="preserve"> (далі – Закон).</w:t>
      </w:r>
    </w:p>
    <w:p w:rsidR="005E1663" w:rsidRPr="00C806F2" w:rsidRDefault="005E1663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>У частині першій статті 4 Закону зазначено, що „</w:t>
      </w:r>
      <w:r w:rsidR="002070A6" w:rsidRPr="00C806F2">
        <w:rPr>
          <w:rStyle w:val="a9"/>
          <w:rFonts w:cs="Times New Roman"/>
          <w:color w:val="000000"/>
          <w:szCs w:val="28"/>
        </w:rPr>
        <w:t>в</w:t>
      </w:r>
      <w:r w:rsidRPr="00C806F2">
        <w:rPr>
          <w:rStyle w:val="a9"/>
          <w:rFonts w:cs="Times New Roman"/>
          <w:color w:val="000000"/>
          <w:szCs w:val="28"/>
        </w:rPr>
        <w:t>етеранами війни є особи, які брали участь у захисті Батьківщини чи в бойових діях на території інших держав“.</w:t>
      </w:r>
    </w:p>
    <w:p w:rsidR="00482EF5" w:rsidRPr="00C806F2" w:rsidRDefault="00CE704D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 xml:space="preserve">Пунктами </w:t>
      </w:r>
      <w:r w:rsidR="002070A6" w:rsidRPr="00C806F2">
        <w:rPr>
          <w:rStyle w:val="a9"/>
          <w:rFonts w:cs="Times New Roman"/>
          <w:color w:val="000000"/>
          <w:szCs w:val="28"/>
        </w:rPr>
        <w:t xml:space="preserve">1, 2 </w:t>
      </w:r>
      <w:r w:rsidRPr="00C806F2">
        <w:rPr>
          <w:rStyle w:val="a9"/>
          <w:rFonts w:cs="Times New Roman"/>
          <w:color w:val="000000"/>
          <w:szCs w:val="28"/>
        </w:rPr>
        <w:t>ч</w:t>
      </w:r>
      <w:r w:rsidR="00482EF5" w:rsidRPr="00C806F2">
        <w:rPr>
          <w:rStyle w:val="a9"/>
          <w:rFonts w:cs="Times New Roman"/>
          <w:color w:val="000000"/>
          <w:szCs w:val="28"/>
        </w:rPr>
        <w:t>астин</w:t>
      </w:r>
      <w:r w:rsidRPr="00C806F2">
        <w:rPr>
          <w:rStyle w:val="a9"/>
          <w:rFonts w:cs="Times New Roman"/>
          <w:color w:val="000000"/>
          <w:szCs w:val="28"/>
        </w:rPr>
        <w:t>и</w:t>
      </w:r>
      <w:r w:rsidR="00482EF5" w:rsidRPr="00C806F2">
        <w:rPr>
          <w:rStyle w:val="a9"/>
          <w:rFonts w:cs="Times New Roman"/>
          <w:color w:val="000000"/>
          <w:szCs w:val="28"/>
        </w:rPr>
        <w:t xml:space="preserve"> </w:t>
      </w:r>
      <w:r w:rsidRPr="00C806F2">
        <w:rPr>
          <w:rStyle w:val="a9"/>
          <w:rFonts w:cs="Times New Roman"/>
          <w:color w:val="000000"/>
          <w:szCs w:val="28"/>
        </w:rPr>
        <w:t>другої статті 7 Закону</w:t>
      </w:r>
      <w:r w:rsidR="00482EF5" w:rsidRPr="00C806F2">
        <w:rPr>
          <w:rStyle w:val="a9"/>
          <w:rFonts w:cs="Times New Roman"/>
          <w:color w:val="000000"/>
          <w:szCs w:val="28"/>
        </w:rPr>
        <w:t xml:space="preserve"> передбачено</w:t>
      </w:r>
      <w:r w:rsidRPr="00C806F2">
        <w:rPr>
          <w:rStyle w:val="a9"/>
          <w:rFonts w:cs="Times New Roman"/>
          <w:color w:val="000000"/>
          <w:szCs w:val="28"/>
        </w:rPr>
        <w:t>, що</w:t>
      </w:r>
      <w:r w:rsidR="00482EF5" w:rsidRPr="00C806F2">
        <w:rPr>
          <w:rStyle w:val="a9"/>
          <w:rFonts w:cs="Times New Roman"/>
          <w:color w:val="000000"/>
          <w:szCs w:val="28"/>
        </w:rPr>
        <w:t>:</w:t>
      </w:r>
    </w:p>
    <w:p w:rsidR="00CE704D" w:rsidRPr="00C806F2" w:rsidRDefault="00CE704D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>„</w:t>
      </w:r>
      <w:r w:rsidRPr="00C806F2">
        <w:rPr>
          <w:rFonts w:cs="Times New Roman"/>
          <w:szCs w:val="28"/>
        </w:rPr>
        <w:t>До осіб з інвалідністю внаслідок війни належать також особи з інвалідністю з числа:</w:t>
      </w:r>
    </w:p>
    <w:p w:rsidR="00CE704D" w:rsidRPr="00C806F2" w:rsidRDefault="00CE704D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>1) військовослужбовців, осіб вільнонайманого складу, які стали особами з інвалідністю внаслідок поранення, контузії, каліцтва або захворювання, одержаних під час захисту Батьківщини, виконання інших обов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язків військової служби, пов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язаних з перебуванням на фронті в інші періоди, з ліквідацією наслідків Чорнобильської катастрофи, ядерних аварій, ядерних випробувань, з участю у військових навчаннях із застосуванням ядерної зброї, іншим ураженням ядерними матеріалами;</w:t>
      </w:r>
    </w:p>
    <w:p w:rsidR="00482EF5" w:rsidRPr="00C806F2" w:rsidRDefault="00CE704D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Fonts w:cs="Times New Roman"/>
          <w:szCs w:val="28"/>
        </w:rPr>
        <w:t>2) осіб начальницького і рядового складу органів Міністерства внутрішніх справ і органів Комітету державної безпеки колишнього Союзу РСР, Міністерства внутрішніх справ України, Служби безпеки України, Служби зовнішньої розвідки України та інших військових формувань, які стали особами з інвалідністю внаслідок поранення, контузії, каліцтва або захворювання, одержаних під час виконання службових обов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 xml:space="preserve">язків, ліквідації наслідків Чорнобильської катастрофи, ядерних аварій, ядерних випробувань, участі у </w:t>
      </w:r>
      <w:r w:rsidRPr="00C806F2">
        <w:rPr>
          <w:rFonts w:cs="Times New Roman"/>
          <w:szCs w:val="28"/>
        </w:rPr>
        <w:lastRenderedPageBreak/>
        <w:t>військових навчаннях із застосуванням ядерної зброї, інших уражень ядер</w:t>
      </w:r>
      <w:r w:rsidR="00DC2D30" w:rsidRPr="00C806F2">
        <w:rPr>
          <w:rFonts w:cs="Times New Roman"/>
          <w:szCs w:val="28"/>
        </w:rPr>
        <w:t>ними матеріалами</w:t>
      </w:r>
      <w:r w:rsidRPr="00C806F2">
        <w:rPr>
          <w:rStyle w:val="a9"/>
          <w:rFonts w:cs="Times New Roman"/>
          <w:color w:val="000000"/>
          <w:szCs w:val="28"/>
        </w:rPr>
        <w:t>“.</w:t>
      </w:r>
    </w:p>
    <w:p w:rsidR="00CE704D" w:rsidRPr="00C806F2" w:rsidRDefault="00CE704D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>На думку автора клопотання, оспорювані положення Закону „призводять до порушення мого права на соціальний захист, права бути рівним перед законом з іншими громадянами України, права знати мої права та обов</w:t>
      </w:r>
      <w:r w:rsidR="00F20C06">
        <w:rPr>
          <w:rStyle w:val="a9"/>
          <w:rFonts w:cs="Times New Roman"/>
          <w:color w:val="000000"/>
          <w:szCs w:val="28"/>
        </w:rPr>
        <w:t>ʼ</w:t>
      </w:r>
      <w:r w:rsidRPr="00C806F2">
        <w:rPr>
          <w:rStyle w:val="a9"/>
          <w:rFonts w:cs="Times New Roman"/>
          <w:color w:val="000000"/>
          <w:szCs w:val="28"/>
        </w:rPr>
        <w:t>язки“.</w:t>
      </w:r>
    </w:p>
    <w:p w:rsidR="00CE704D" w:rsidRPr="00C806F2" w:rsidRDefault="00CE704D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 xml:space="preserve">До конституційної скарги долучено копію рішення Донецького окружного адміністративного суду від 5 грудня 2018 року, постанови </w:t>
      </w:r>
      <w:r w:rsidR="00F80EF9" w:rsidRPr="00C806F2">
        <w:rPr>
          <w:rStyle w:val="a9"/>
          <w:rFonts w:cs="Times New Roman"/>
          <w:color w:val="000000"/>
          <w:szCs w:val="28"/>
        </w:rPr>
        <w:t>Першого апеляційного адміністративного суду від 27 лютого 2019 року, постанови Верховного Суду у складі колегії суддів Касаційного адміністративного суду від 2 квітня 2021 року.</w:t>
      </w:r>
    </w:p>
    <w:p w:rsidR="00F80EF9" w:rsidRPr="00C806F2" w:rsidRDefault="00F80EF9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 xml:space="preserve">Обґрунтовуючи свої твердження, Черних А.Ф. посилається на окремі положення Конституції України, Закону, рішення Конституційного Суду України, рішення Європейського суду з прав людини у справі </w:t>
      </w:r>
      <w:r w:rsidRPr="00F20C06">
        <w:rPr>
          <w:rStyle w:val="a9"/>
          <w:rFonts w:cs="Times New Roman"/>
          <w:i/>
          <w:color w:val="000000"/>
          <w:szCs w:val="28"/>
        </w:rPr>
        <w:t>„Пічкур проти України“</w:t>
      </w:r>
      <w:r w:rsidR="00C020DD" w:rsidRPr="00C806F2">
        <w:rPr>
          <w:rStyle w:val="a9"/>
          <w:rFonts w:cs="Times New Roman"/>
          <w:color w:val="000000"/>
          <w:szCs w:val="28"/>
        </w:rPr>
        <w:t xml:space="preserve"> </w:t>
      </w:r>
      <w:r w:rsidR="00A570EB" w:rsidRPr="00C806F2">
        <w:rPr>
          <w:rStyle w:val="a9"/>
          <w:rFonts w:cs="Times New Roman"/>
          <w:color w:val="000000"/>
          <w:szCs w:val="28"/>
        </w:rPr>
        <w:t xml:space="preserve">від 7 листопада 2013 року (заява </w:t>
      </w:r>
      <w:r w:rsidR="00F85E3F">
        <w:rPr>
          <w:rStyle w:val="a9"/>
          <w:rFonts w:cs="Times New Roman"/>
          <w:color w:val="000000"/>
          <w:szCs w:val="28"/>
        </w:rPr>
        <w:t xml:space="preserve">№ </w:t>
      </w:r>
      <w:r w:rsidR="00A570EB" w:rsidRPr="00C806F2">
        <w:rPr>
          <w:rStyle w:val="a9"/>
          <w:rFonts w:cs="Times New Roman"/>
          <w:color w:val="000000"/>
          <w:szCs w:val="28"/>
        </w:rPr>
        <w:t>10441/06)</w:t>
      </w:r>
      <w:r w:rsidR="00C806F2">
        <w:rPr>
          <w:rStyle w:val="a9"/>
          <w:rFonts w:cs="Times New Roman"/>
          <w:color w:val="000000"/>
          <w:szCs w:val="28"/>
        </w:rPr>
        <w:t>,</w:t>
      </w:r>
      <w:r w:rsidR="00F20C06">
        <w:rPr>
          <w:rStyle w:val="a9"/>
          <w:rFonts w:cs="Times New Roman"/>
          <w:color w:val="000000"/>
          <w:szCs w:val="28"/>
        </w:rPr>
        <w:t xml:space="preserve"> </w:t>
      </w:r>
      <w:r w:rsidRPr="00C806F2">
        <w:rPr>
          <w:rStyle w:val="a9"/>
          <w:rFonts w:cs="Times New Roman"/>
          <w:color w:val="000000"/>
          <w:szCs w:val="28"/>
        </w:rPr>
        <w:t>а також на судові рішення у своїй справі.</w:t>
      </w:r>
    </w:p>
    <w:p w:rsidR="00CE704D" w:rsidRPr="00C806F2" w:rsidRDefault="00CE704D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</w:p>
    <w:p w:rsidR="00F80EF9" w:rsidRPr="00C806F2" w:rsidRDefault="00F80EF9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>2. Вирішуючи питання про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6C3AAB" w:rsidRPr="00C806F2" w:rsidRDefault="006C3AAB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 xml:space="preserve">Відповідно до </w:t>
      </w:r>
      <w:r w:rsidRPr="00C806F2">
        <w:rPr>
          <w:rFonts w:cs="Times New Roman"/>
          <w:szCs w:val="28"/>
        </w:rPr>
        <w:t>Закону України „Про Конституційний Суд України“ конституційна скарга має містити обґрунтування тверджень щодо нек</w:t>
      </w:r>
      <w:r w:rsidR="00C806F2">
        <w:rPr>
          <w:rFonts w:cs="Times New Roman"/>
          <w:szCs w:val="28"/>
        </w:rPr>
        <w:t xml:space="preserve">онституційності закону України </w:t>
      </w:r>
      <w:r w:rsidRPr="00C806F2">
        <w:rPr>
          <w:rFonts w:cs="Times New Roman"/>
          <w:szCs w:val="28"/>
        </w:rPr>
        <w:t>(його окремих положень) із зазначенням того, яке з гарантованих Конституцією України прав людини, на думку суб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 статтями 55, 56 цього закону (абзац перший частини першої статті 77).</w:t>
      </w:r>
    </w:p>
    <w:p w:rsidR="00C806F2" w:rsidRDefault="00C806F2" w:rsidP="00C806F2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</w:p>
    <w:p w:rsidR="00F85E3F" w:rsidRDefault="006C3AAB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Style w:val="a9"/>
          <w:rFonts w:cs="Times New Roman"/>
          <w:color w:val="000000"/>
          <w:szCs w:val="28"/>
        </w:rPr>
        <w:t xml:space="preserve">2.1. </w:t>
      </w:r>
      <w:r w:rsidR="00632CC2" w:rsidRPr="00C806F2">
        <w:rPr>
          <w:rStyle w:val="a9"/>
          <w:rFonts w:cs="Times New Roman"/>
          <w:color w:val="000000"/>
          <w:szCs w:val="28"/>
        </w:rPr>
        <w:t>Обґрунтовуючи</w:t>
      </w:r>
      <w:r w:rsidRPr="00C806F2">
        <w:rPr>
          <w:rStyle w:val="a9"/>
          <w:rFonts w:cs="Times New Roman"/>
          <w:color w:val="000000"/>
          <w:szCs w:val="28"/>
        </w:rPr>
        <w:t xml:space="preserve"> неконституційність </w:t>
      </w:r>
      <w:r w:rsidR="00D744E0" w:rsidRPr="00C806F2">
        <w:rPr>
          <w:rStyle w:val="a9"/>
          <w:rFonts w:cs="Times New Roman"/>
          <w:color w:val="000000"/>
          <w:szCs w:val="28"/>
        </w:rPr>
        <w:t>положень пункту 1 частини другої статті 7 Закону</w:t>
      </w:r>
      <w:r w:rsidRPr="00C806F2">
        <w:rPr>
          <w:rStyle w:val="a9"/>
          <w:rFonts w:cs="Times New Roman"/>
          <w:color w:val="000000"/>
          <w:szCs w:val="28"/>
        </w:rPr>
        <w:t xml:space="preserve">, Черних А.Ф. </w:t>
      </w:r>
      <w:r w:rsidR="0022453D" w:rsidRPr="00C806F2">
        <w:rPr>
          <w:rStyle w:val="a9"/>
          <w:rFonts w:cs="Times New Roman"/>
          <w:color w:val="000000"/>
          <w:szCs w:val="28"/>
        </w:rPr>
        <w:t xml:space="preserve">зазначає, що </w:t>
      </w:r>
      <w:r w:rsidR="006D6476" w:rsidRPr="00C806F2">
        <w:rPr>
          <w:rFonts w:cs="Times New Roman"/>
          <w:szCs w:val="28"/>
        </w:rPr>
        <w:t>„</w:t>
      </w:r>
      <w:r w:rsidR="0022453D" w:rsidRPr="00C806F2">
        <w:rPr>
          <w:rStyle w:val="a9"/>
          <w:rFonts w:cs="Times New Roman"/>
          <w:color w:val="000000"/>
          <w:szCs w:val="28"/>
        </w:rPr>
        <w:t xml:space="preserve">одна й та сама </w:t>
      </w:r>
      <w:r w:rsidR="00DC2D30" w:rsidRPr="00C806F2">
        <w:rPr>
          <w:rStyle w:val="a9"/>
          <w:rFonts w:cs="Times New Roman"/>
          <w:color w:val="000000"/>
          <w:szCs w:val="28"/>
        </w:rPr>
        <w:t xml:space="preserve">норма … </w:t>
      </w:r>
      <w:r w:rsidR="00121341" w:rsidRPr="00C806F2">
        <w:rPr>
          <w:rStyle w:val="a9"/>
          <w:rFonts w:cs="Times New Roman"/>
          <w:color w:val="000000"/>
          <w:szCs w:val="28"/>
        </w:rPr>
        <w:t xml:space="preserve">у різний час читалася судовою владою (у т.ч. вищими судовими органами) та профільними </w:t>
      </w:r>
      <w:r w:rsidR="00121341" w:rsidRPr="00C806F2">
        <w:rPr>
          <w:rStyle w:val="a9"/>
          <w:rFonts w:cs="Times New Roman"/>
          <w:color w:val="000000"/>
          <w:szCs w:val="28"/>
        </w:rPr>
        <w:lastRenderedPageBreak/>
        <w:t>органами виконавчої влади абсолютно по-різному, причиною чого є неналежний виклад тексту вказаної норми закону, який не дозволяє однозначно встановити її зміст</w:t>
      </w:r>
      <w:r w:rsidR="006D6476" w:rsidRPr="00C806F2">
        <w:rPr>
          <w:rFonts w:cs="Times New Roman"/>
          <w:szCs w:val="28"/>
        </w:rPr>
        <w:t>“</w:t>
      </w:r>
      <w:r w:rsidRPr="00C806F2">
        <w:rPr>
          <w:rFonts w:cs="Times New Roman"/>
          <w:szCs w:val="28"/>
        </w:rPr>
        <w:t xml:space="preserve">. На думку автора клопотання, </w:t>
      </w:r>
      <w:r w:rsidR="002070A6" w:rsidRPr="00C806F2">
        <w:rPr>
          <w:rFonts w:cs="Times New Roman"/>
          <w:szCs w:val="28"/>
        </w:rPr>
        <w:t>така невизначеність</w:t>
      </w:r>
      <w:r w:rsidR="00F72E19" w:rsidRPr="00C806F2">
        <w:rPr>
          <w:rFonts w:cs="Times New Roman"/>
          <w:szCs w:val="28"/>
        </w:rPr>
        <w:t xml:space="preserve"> змісту</w:t>
      </w:r>
      <w:r w:rsidR="002070A6" w:rsidRPr="00C806F2">
        <w:rPr>
          <w:rFonts w:cs="Times New Roman"/>
          <w:szCs w:val="28"/>
        </w:rPr>
        <w:t xml:space="preserve"> </w:t>
      </w:r>
      <w:r w:rsidR="002F361B" w:rsidRPr="00C806F2">
        <w:rPr>
          <w:rFonts w:cs="Times New Roman"/>
          <w:szCs w:val="28"/>
        </w:rPr>
        <w:t>оспорюваних положень Закону свідчить про їх</w:t>
      </w:r>
      <w:r w:rsidRPr="00C806F2">
        <w:rPr>
          <w:rFonts w:cs="Times New Roman"/>
          <w:szCs w:val="28"/>
        </w:rPr>
        <w:t xml:space="preserve"> невідповідність частині першій статті 57 Конституції України</w:t>
      </w:r>
      <w:r w:rsidR="00632CC2" w:rsidRPr="00C806F2">
        <w:rPr>
          <w:rFonts w:cs="Times New Roman"/>
          <w:szCs w:val="28"/>
        </w:rPr>
        <w:t xml:space="preserve"> та не відповідає принципу юридичної визначеності як складової верховенства права, закріпленого у частині першій статті 8 Основного Закону України.</w:t>
      </w:r>
    </w:p>
    <w:p w:rsidR="00632CC2" w:rsidRPr="00C806F2" w:rsidRDefault="00632CC2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 xml:space="preserve">Однак </w:t>
      </w:r>
      <w:r w:rsidR="00432EE0" w:rsidRPr="00C806F2">
        <w:rPr>
          <w:rFonts w:cs="Times New Roman"/>
          <w:szCs w:val="28"/>
        </w:rPr>
        <w:t xml:space="preserve">автор клопотання не </w:t>
      </w:r>
      <w:r w:rsidR="002070A6" w:rsidRPr="00C806F2">
        <w:rPr>
          <w:rFonts w:cs="Times New Roman"/>
          <w:szCs w:val="28"/>
        </w:rPr>
        <w:t>аргументував</w:t>
      </w:r>
      <w:r w:rsidR="00432EE0" w:rsidRPr="00C806F2">
        <w:rPr>
          <w:rFonts w:cs="Times New Roman"/>
          <w:szCs w:val="28"/>
        </w:rPr>
        <w:t xml:space="preserve">, у чому полягає порушення принципу </w:t>
      </w:r>
      <w:r w:rsidR="00572671" w:rsidRPr="00C806F2">
        <w:rPr>
          <w:rFonts w:cs="Times New Roman"/>
          <w:szCs w:val="28"/>
        </w:rPr>
        <w:t>юридичної</w:t>
      </w:r>
      <w:r w:rsidR="00432EE0" w:rsidRPr="00C806F2">
        <w:rPr>
          <w:rFonts w:cs="Times New Roman"/>
          <w:szCs w:val="28"/>
        </w:rPr>
        <w:t xml:space="preserve"> визначеності, а саме</w:t>
      </w:r>
      <w:r w:rsidR="00572671" w:rsidRPr="00C806F2">
        <w:rPr>
          <w:rFonts w:cs="Times New Roman"/>
          <w:szCs w:val="28"/>
        </w:rPr>
        <w:t xml:space="preserve"> вимог</w:t>
      </w:r>
      <w:r w:rsidR="005F28A5" w:rsidRPr="00C806F2">
        <w:rPr>
          <w:rFonts w:cs="Times New Roman"/>
          <w:szCs w:val="28"/>
        </w:rPr>
        <w:t xml:space="preserve"> чіткості </w:t>
      </w:r>
      <w:r w:rsidR="00432EE0" w:rsidRPr="00C806F2">
        <w:rPr>
          <w:rFonts w:cs="Times New Roman"/>
          <w:szCs w:val="28"/>
        </w:rPr>
        <w:t xml:space="preserve">й </w:t>
      </w:r>
      <w:r w:rsidR="005F28A5" w:rsidRPr="00C806F2">
        <w:rPr>
          <w:rFonts w:cs="Times New Roman"/>
          <w:szCs w:val="28"/>
        </w:rPr>
        <w:t>передбачності</w:t>
      </w:r>
      <w:r w:rsidR="00432EE0" w:rsidRPr="00C806F2">
        <w:rPr>
          <w:rFonts w:cs="Times New Roman"/>
          <w:szCs w:val="28"/>
        </w:rPr>
        <w:t xml:space="preserve">, </w:t>
      </w:r>
      <w:r w:rsidR="00ED3DDE" w:rsidRPr="00C806F2">
        <w:rPr>
          <w:rFonts w:cs="Times New Roman"/>
          <w:szCs w:val="28"/>
        </w:rPr>
        <w:t>яке унеможливило</w:t>
      </w:r>
      <w:r w:rsidR="002070A6" w:rsidRPr="00C806F2">
        <w:rPr>
          <w:rFonts w:cs="Times New Roman"/>
          <w:szCs w:val="28"/>
        </w:rPr>
        <w:t xml:space="preserve"> би</w:t>
      </w:r>
      <w:r w:rsidR="00432EE0" w:rsidRPr="00C806F2">
        <w:rPr>
          <w:rFonts w:cs="Times New Roman"/>
          <w:szCs w:val="28"/>
        </w:rPr>
        <w:t xml:space="preserve"> реалізацію</w:t>
      </w:r>
      <w:r w:rsidR="002070A6" w:rsidRPr="00C806F2">
        <w:rPr>
          <w:rFonts w:cs="Times New Roman"/>
          <w:szCs w:val="28"/>
        </w:rPr>
        <w:t xml:space="preserve"> ним</w:t>
      </w:r>
      <w:r w:rsidR="00432EE0" w:rsidRPr="00C806F2">
        <w:rPr>
          <w:rFonts w:cs="Times New Roman"/>
          <w:szCs w:val="28"/>
        </w:rPr>
        <w:t xml:space="preserve"> права, передбаченого</w:t>
      </w:r>
      <w:r w:rsidR="00C806F2">
        <w:rPr>
          <w:rFonts w:cs="Times New Roman"/>
          <w:szCs w:val="28"/>
        </w:rPr>
        <w:t xml:space="preserve"> частиною першою</w:t>
      </w:r>
      <w:r w:rsidR="00C806F2">
        <w:rPr>
          <w:rFonts w:cs="Times New Roman"/>
          <w:szCs w:val="28"/>
        </w:rPr>
        <w:br/>
      </w:r>
      <w:r w:rsidR="00C62B99" w:rsidRPr="00C806F2">
        <w:rPr>
          <w:rFonts w:cs="Times New Roman"/>
          <w:szCs w:val="28"/>
        </w:rPr>
        <w:t>статті</w:t>
      </w:r>
      <w:r w:rsidR="00432EE0" w:rsidRPr="00C806F2">
        <w:rPr>
          <w:rFonts w:cs="Times New Roman"/>
          <w:szCs w:val="28"/>
        </w:rPr>
        <w:t xml:space="preserve"> 57 Конституції України</w:t>
      </w:r>
      <w:r w:rsidRPr="00C806F2">
        <w:rPr>
          <w:rFonts w:cs="Times New Roman"/>
          <w:szCs w:val="28"/>
        </w:rPr>
        <w:t>.</w:t>
      </w:r>
    </w:p>
    <w:p w:rsidR="00365CF1" w:rsidRPr="00C806F2" w:rsidRDefault="00365CF1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3E5A8C" w:rsidRPr="00C806F2" w:rsidRDefault="003E5A8C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 xml:space="preserve">2.2. Черних А.Ф. вказує на те, що оспорюваними положеннями Закону було порушено його право на соціальний захист, яке включає право на забезпечення громадян у разі повної, часткової або тимчасової </w:t>
      </w:r>
      <w:r w:rsidR="00627BB2" w:rsidRPr="00C806F2">
        <w:rPr>
          <w:rFonts w:cs="Times New Roman"/>
          <w:szCs w:val="28"/>
        </w:rPr>
        <w:t>втрати працездатності</w:t>
      </w:r>
      <w:r w:rsidRPr="00C806F2">
        <w:rPr>
          <w:rFonts w:cs="Times New Roman"/>
          <w:szCs w:val="28"/>
        </w:rPr>
        <w:t>, гарантоване частиною першою статті 46 Конституції України. О</w:t>
      </w:r>
      <w:r w:rsidR="00365CF1" w:rsidRPr="00C806F2">
        <w:rPr>
          <w:rFonts w:cs="Times New Roman"/>
          <w:szCs w:val="28"/>
        </w:rPr>
        <w:t xml:space="preserve">чевидна необґрунтованість </w:t>
      </w:r>
      <w:r w:rsidR="00627BB2" w:rsidRPr="00C806F2">
        <w:rPr>
          <w:rFonts w:cs="Times New Roman"/>
          <w:szCs w:val="28"/>
        </w:rPr>
        <w:t>тверджень щодо неконституційності оспорюваних положень Закону</w:t>
      </w:r>
      <w:r w:rsidR="00365CF1" w:rsidRPr="00C806F2">
        <w:rPr>
          <w:rFonts w:cs="Times New Roman"/>
          <w:szCs w:val="28"/>
        </w:rPr>
        <w:t xml:space="preserve"> пов</w:t>
      </w:r>
      <w:r w:rsidR="00F20C06">
        <w:rPr>
          <w:rFonts w:cs="Times New Roman"/>
          <w:szCs w:val="28"/>
        </w:rPr>
        <w:t>ʼ</w:t>
      </w:r>
      <w:r w:rsidR="00365CF1" w:rsidRPr="00C806F2">
        <w:rPr>
          <w:rFonts w:cs="Times New Roman"/>
          <w:szCs w:val="28"/>
        </w:rPr>
        <w:t>язана з хибним розумінням суб</w:t>
      </w:r>
      <w:r w:rsidR="00F20C06">
        <w:rPr>
          <w:rFonts w:cs="Times New Roman"/>
          <w:szCs w:val="28"/>
        </w:rPr>
        <w:t>ʼ</w:t>
      </w:r>
      <w:r w:rsidR="00365CF1" w:rsidRPr="00C806F2">
        <w:rPr>
          <w:rFonts w:cs="Times New Roman"/>
          <w:szCs w:val="28"/>
        </w:rPr>
        <w:t>єктом права на конституційну скаргу механізму реалізації права на соціальний захист, передбаченого статтею 46 Основного Закон</w:t>
      </w:r>
      <w:r w:rsidR="003C2829" w:rsidRPr="00C806F2">
        <w:rPr>
          <w:rFonts w:cs="Times New Roman"/>
          <w:szCs w:val="28"/>
        </w:rPr>
        <w:t>у України,</w:t>
      </w:r>
      <w:r w:rsidR="00627BB2" w:rsidRPr="00C806F2">
        <w:rPr>
          <w:rFonts w:cs="Times New Roman"/>
          <w:szCs w:val="28"/>
        </w:rPr>
        <w:t xml:space="preserve"> в аспекті </w:t>
      </w:r>
      <w:r w:rsidR="0074226E" w:rsidRPr="00C806F2">
        <w:rPr>
          <w:rFonts w:cs="Times New Roman"/>
          <w:szCs w:val="28"/>
        </w:rPr>
        <w:t>н</w:t>
      </w:r>
      <w:r w:rsidR="003C2829" w:rsidRPr="00C806F2">
        <w:rPr>
          <w:rFonts w:cs="Times New Roman"/>
          <w:szCs w:val="28"/>
        </w:rPr>
        <w:t>абуття автором клопотання статусу особи з інвалідністю внаслідок війни відповідно до вимог статті 7 Закону</w:t>
      </w:r>
      <w:r w:rsidR="00365CF1" w:rsidRPr="00C806F2">
        <w:rPr>
          <w:rFonts w:cs="Times New Roman"/>
          <w:szCs w:val="28"/>
        </w:rPr>
        <w:t>.</w:t>
      </w:r>
    </w:p>
    <w:p w:rsidR="00365CF1" w:rsidRPr="00C806F2" w:rsidRDefault="00365CF1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E33705" w:rsidRPr="00C806F2" w:rsidRDefault="00E33705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>2.3. Суб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єкт права на конституційну скаргу зазначає, що „відмінності у правовому статусі інвалідів з числа колишніх військовослужбовців, які ґрунтуються виключно на критерії «воював/не воював» не є об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єктивно виправданими, обґрунтованими та справедливими“. На його думку, „є відверто дискримінаційною норма, яка для надання статусу особи з інвалідністю внаслідок війни для одних вимагає виконання військових обов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язків під час воєнних дій (під час захисту Батьківщини чи ведення бойових дій на території інших держав), а для інших – достатньо виконання їх звичайних службових обов</w:t>
      </w:r>
      <w:r w:rsidR="00F20C06">
        <w:rPr>
          <w:rFonts w:cs="Times New Roman"/>
          <w:szCs w:val="28"/>
        </w:rPr>
        <w:t>ʼ</w:t>
      </w:r>
      <w:r w:rsidRPr="00C806F2">
        <w:rPr>
          <w:rFonts w:cs="Times New Roman"/>
          <w:szCs w:val="28"/>
        </w:rPr>
        <w:t>язків у мирний час“.</w:t>
      </w:r>
    </w:p>
    <w:p w:rsidR="00E33705" w:rsidRPr="00C806F2" w:rsidRDefault="009B412D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>Черних</w:t>
      </w:r>
      <w:r w:rsidR="00C62B99" w:rsidRPr="00C806F2">
        <w:rPr>
          <w:rFonts w:cs="Times New Roman"/>
          <w:szCs w:val="28"/>
        </w:rPr>
        <w:t xml:space="preserve"> А.Ф.</w:t>
      </w:r>
      <w:r w:rsidRPr="00C806F2">
        <w:rPr>
          <w:rFonts w:cs="Times New Roman"/>
          <w:szCs w:val="28"/>
        </w:rPr>
        <w:t xml:space="preserve">, даючи оцінку законодавчому регулюванню </w:t>
      </w:r>
      <w:r w:rsidR="00E33705" w:rsidRPr="00C806F2">
        <w:rPr>
          <w:rFonts w:cs="Times New Roman"/>
          <w:szCs w:val="28"/>
        </w:rPr>
        <w:t>порядку і підстав надання</w:t>
      </w:r>
      <w:r w:rsidR="00627BB2" w:rsidRPr="00C806F2">
        <w:rPr>
          <w:rFonts w:cs="Times New Roman"/>
          <w:szCs w:val="28"/>
        </w:rPr>
        <w:t xml:space="preserve"> особі</w:t>
      </w:r>
      <w:r w:rsidR="00E33705" w:rsidRPr="00C806F2">
        <w:rPr>
          <w:rFonts w:cs="Times New Roman"/>
          <w:szCs w:val="28"/>
        </w:rPr>
        <w:t xml:space="preserve"> статусу особи з інвалідністю внаслідок війни</w:t>
      </w:r>
      <w:r w:rsidRPr="00C806F2">
        <w:rPr>
          <w:rFonts w:cs="Times New Roman"/>
          <w:szCs w:val="28"/>
        </w:rPr>
        <w:t xml:space="preserve">, не навів аргументів на підтвердження того, що </w:t>
      </w:r>
      <w:r w:rsidR="00365CF1" w:rsidRPr="00C806F2">
        <w:rPr>
          <w:rFonts w:cs="Times New Roman"/>
          <w:szCs w:val="28"/>
        </w:rPr>
        <w:t>різне правове регулювання статусу</w:t>
      </w:r>
      <w:r w:rsidR="001A79F2" w:rsidRPr="00C806F2">
        <w:rPr>
          <w:rFonts w:cs="Times New Roman"/>
          <w:szCs w:val="28"/>
        </w:rPr>
        <w:t xml:space="preserve"> категорії</w:t>
      </w:r>
      <w:r w:rsidR="00365CF1" w:rsidRPr="00C806F2">
        <w:rPr>
          <w:rFonts w:cs="Times New Roman"/>
          <w:szCs w:val="28"/>
        </w:rPr>
        <w:t xml:space="preserve"> осіб</w:t>
      </w:r>
      <w:r w:rsidR="001A79F2" w:rsidRPr="00C806F2">
        <w:rPr>
          <w:rFonts w:cs="Times New Roman"/>
          <w:szCs w:val="28"/>
        </w:rPr>
        <w:t>,</w:t>
      </w:r>
      <w:r w:rsidR="00365CF1" w:rsidRPr="00C806F2">
        <w:rPr>
          <w:rFonts w:cs="Times New Roman"/>
          <w:szCs w:val="28"/>
        </w:rPr>
        <w:t xml:space="preserve"> </w:t>
      </w:r>
      <w:r w:rsidR="001A79F2" w:rsidRPr="00C806F2">
        <w:rPr>
          <w:rFonts w:cs="Times New Roman"/>
          <w:szCs w:val="28"/>
        </w:rPr>
        <w:t>до яких належить автор клопотання</w:t>
      </w:r>
      <w:r w:rsidR="00C31F43" w:rsidRPr="00C806F2">
        <w:rPr>
          <w:rFonts w:cs="Times New Roman"/>
          <w:szCs w:val="28"/>
        </w:rPr>
        <w:t>,</w:t>
      </w:r>
      <w:r w:rsidR="001A79F2" w:rsidRPr="00C806F2">
        <w:rPr>
          <w:rFonts w:cs="Times New Roman"/>
          <w:szCs w:val="28"/>
        </w:rPr>
        <w:t xml:space="preserve"> і статусу осіб з інвалідністю внаслідок війни, вимоги </w:t>
      </w:r>
      <w:r w:rsidR="00627BB2" w:rsidRPr="00C806F2">
        <w:rPr>
          <w:rFonts w:cs="Times New Roman"/>
          <w:szCs w:val="28"/>
        </w:rPr>
        <w:t xml:space="preserve">для набуття </w:t>
      </w:r>
      <w:r w:rsidR="00BC0129" w:rsidRPr="00C806F2">
        <w:rPr>
          <w:rFonts w:cs="Times New Roman"/>
          <w:szCs w:val="28"/>
        </w:rPr>
        <w:t>якого</w:t>
      </w:r>
      <w:r w:rsidR="001A79F2" w:rsidRPr="00C806F2">
        <w:rPr>
          <w:rFonts w:cs="Times New Roman"/>
          <w:szCs w:val="28"/>
        </w:rPr>
        <w:t xml:space="preserve"> передбачені частиною другою статті 7 Закону,</w:t>
      </w:r>
      <w:r w:rsidR="00C62B99" w:rsidRPr="00C806F2">
        <w:rPr>
          <w:rFonts w:cs="Times New Roman"/>
          <w:szCs w:val="28"/>
        </w:rPr>
        <w:t xml:space="preserve"> </w:t>
      </w:r>
      <w:r w:rsidR="00386EF7" w:rsidRPr="00C806F2">
        <w:rPr>
          <w:rFonts w:cs="Times New Roman"/>
          <w:szCs w:val="28"/>
        </w:rPr>
        <w:t>не є</w:t>
      </w:r>
      <w:r w:rsidR="00E42B26" w:rsidRPr="00C806F2">
        <w:rPr>
          <w:rFonts w:cs="Times New Roman"/>
          <w:szCs w:val="28"/>
        </w:rPr>
        <w:t xml:space="preserve"> розумним та об</w:t>
      </w:r>
      <w:r w:rsidR="00F20C06">
        <w:rPr>
          <w:rFonts w:cs="Times New Roman"/>
          <w:szCs w:val="28"/>
        </w:rPr>
        <w:t>ʼ</w:t>
      </w:r>
      <w:r w:rsidR="00E42B26" w:rsidRPr="00C806F2">
        <w:rPr>
          <w:rFonts w:cs="Times New Roman"/>
          <w:szCs w:val="28"/>
        </w:rPr>
        <w:t xml:space="preserve">єктивно </w:t>
      </w:r>
      <w:r w:rsidR="00575E6E" w:rsidRPr="00C806F2">
        <w:rPr>
          <w:rFonts w:cs="Times New Roman"/>
          <w:szCs w:val="28"/>
        </w:rPr>
        <w:t>виправданим</w:t>
      </w:r>
      <w:r w:rsidR="007136F7" w:rsidRPr="00C806F2">
        <w:rPr>
          <w:rFonts w:cs="Times New Roman"/>
          <w:szCs w:val="28"/>
        </w:rPr>
        <w:t xml:space="preserve">. </w:t>
      </w:r>
      <w:r w:rsidR="005F28A5" w:rsidRPr="00C806F2">
        <w:rPr>
          <w:rFonts w:cs="Times New Roman"/>
          <w:szCs w:val="28"/>
        </w:rPr>
        <w:t>Таким чином, наведені</w:t>
      </w:r>
      <w:r w:rsidRPr="00C806F2">
        <w:rPr>
          <w:rFonts w:cs="Times New Roman"/>
          <w:szCs w:val="28"/>
        </w:rPr>
        <w:t xml:space="preserve"> </w:t>
      </w:r>
      <w:r w:rsidR="005F28A5" w:rsidRPr="00C806F2">
        <w:rPr>
          <w:rFonts w:cs="Times New Roman"/>
          <w:szCs w:val="28"/>
        </w:rPr>
        <w:t xml:space="preserve">доводи </w:t>
      </w:r>
      <w:r w:rsidR="00C31F43" w:rsidRPr="00C806F2">
        <w:rPr>
          <w:rFonts w:cs="Times New Roman"/>
          <w:szCs w:val="28"/>
        </w:rPr>
        <w:t>суб</w:t>
      </w:r>
      <w:r w:rsidR="00F20C06">
        <w:rPr>
          <w:rFonts w:cs="Times New Roman"/>
          <w:szCs w:val="28"/>
        </w:rPr>
        <w:t>ʼ</w:t>
      </w:r>
      <w:r w:rsidR="00C31F43" w:rsidRPr="00C806F2">
        <w:rPr>
          <w:rFonts w:cs="Times New Roman"/>
          <w:szCs w:val="28"/>
        </w:rPr>
        <w:t>єкта права на конституційну скаргу</w:t>
      </w:r>
      <w:r w:rsidRPr="00C806F2">
        <w:rPr>
          <w:rFonts w:cs="Times New Roman"/>
          <w:szCs w:val="28"/>
        </w:rPr>
        <w:t xml:space="preserve"> щодо невідповідності положень </w:t>
      </w:r>
      <w:r w:rsidR="007136F7" w:rsidRPr="00C806F2">
        <w:rPr>
          <w:rFonts w:cs="Times New Roman"/>
          <w:szCs w:val="28"/>
        </w:rPr>
        <w:t>частини першої статті 4, п</w:t>
      </w:r>
      <w:r w:rsidR="00E42B26" w:rsidRPr="00C806F2">
        <w:rPr>
          <w:rStyle w:val="a9"/>
          <w:rFonts w:cs="Times New Roman"/>
          <w:color w:val="000000"/>
          <w:szCs w:val="28"/>
        </w:rPr>
        <w:t xml:space="preserve">унктів </w:t>
      </w:r>
      <w:r w:rsidR="00E26D36" w:rsidRPr="00C806F2">
        <w:rPr>
          <w:rStyle w:val="a9"/>
          <w:rFonts w:cs="Times New Roman"/>
          <w:color w:val="000000"/>
          <w:szCs w:val="28"/>
        </w:rPr>
        <w:t>1, 2</w:t>
      </w:r>
      <w:r w:rsidR="007136F7" w:rsidRPr="00C806F2">
        <w:rPr>
          <w:rStyle w:val="a9"/>
          <w:rFonts w:cs="Times New Roman"/>
          <w:color w:val="000000"/>
          <w:szCs w:val="28"/>
        </w:rPr>
        <w:t xml:space="preserve"> частини другої статті 7 Закону</w:t>
      </w:r>
      <w:r w:rsidR="00E42B26" w:rsidRPr="00C806F2">
        <w:rPr>
          <w:rStyle w:val="a9"/>
          <w:rFonts w:cs="Times New Roman"/>
          <w:color w:val="000000"/>
          <w:szCs w:val="28"/>
        </w:rPr>
        <w:t xml:space="preserve"> статті 21, частинам</w:t>
      </w:r>
      <w:r w:rsidR="007136F7" w:rsidRPr="00C806F2">
        <w:rPr>
          <w:rStyle w:val="a9"/>
          <w:rFonts w:cs="Times New Roman"/>
          <w:color w:val="000000"/>
          <w:szCs w:val="28"/>
        </w:rPr>
        <w:t xml:space="preserve"> першій</w:t>
      </w:r>
      <w:r w:rsidR="00E42B26" w:rsidRPr="00C806F2">
        <w:rPr>
          <w:rStyle w:val="a9"/>
          <w:rFonts w:cs="Times New Roman"/>
          <w:color w:val="000000"/>
          <w:szCs w:val="28"/>
        </w:rPr>
        <w:t>, другій</w:t>
      </w:r>
      <w:r w:rsidR="007136F7" w:rsidRPr="00C806F2">
        <w:rPr>
          <w:rStyle w:val="a9"/>
          <w:rFonts w:cs="Times New Roman"/>
          <w:color w:val="000000"/>
          <w:szCs w:val="28"/>
        </w:rPr>
        <w:t xml:space="preserve"> статті 24</w:t>
      </w:r>
      <w:r w:rsidRPr="00C806F2">
        <w:rPr>
          <w:rFonts w:cs="Times New Roman"/>
          <w:szCs w:val="28"/>
        </w:rPr>
        <w:t xml:space="preserve"> </w:t>
      </w:r>
      <w:r w:rsidR="00657A03" w:rsidRPr="00C806F2">
        <w:rPr>
          <w:rFonts w:cs="Times New Roman"/>
          <w:szCs w:val="28"/>
        </w:rPr>
        <w:t>Основного Закону України не можуть</w:t>
      </w:r>
      <w:r w:rsidRPr="00C806F2">
        <w:rPr>
          <w:rFonts w:cs="Times New Roman"/>
          <w:szCs w:val="28"/>
        </w:rPr>
        <w:t xml:space="preserve"> вважатися обґрунтуванням тверджень щодо неконституційності оспорюваних положень Закону в розумінні пункту 6 частини другої статті 55 Закону України „Про Конституційний Суд України“.</w:t>
      </w:r>
    </w:p>
    <w:p w:rsidR="00B7479A" w:rsidRPr="00C806F2" w:rsidRDefault="009B412D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B7479A" w:rsidRPr="00C806F2" w:rsidRDefault="00B7479A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482EF5" w:rsidRPr="00C806F2" w:rsidRDefault="00482EF5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806F2">
        <w:rPr>
          <w:rFonts w:cs="Times New Roman"/>
          <w:szCs w:val="28"/>
        </w:rPr>
        <w:t>Враховуючи викладене та керуючись статтями 147, 151</w:t>
      </w:r>
      <w:r w:rsidRPr="00C806F2">
        <w:rPr>
          <w:rFonts w:cs="Times New Roman"/>
          <w:szCs w:val="28"/>
          <w:vertAlign w:val="superscript"/>
        </w:rPr>
        <w:t>1</w:t>
      </w:r>
      <w:r w:rsidRPr="00C806F2">
        <w:rPr>
          <w:rFonts w:cs="Times New Roman"/>
          <w:szCs w:val="28"/>
        </w:rPr>
        <w:t>, 153 Конституції України, на підставі статей 7, 32, 3</w:t>
      </w:r>
      <w:r w:rsidR="00F80EF9" w:rsidRPr="00C806F2">
        <w:rPr>
          <w:rFonts w:cs="Times New Roman"/>
          <w:szCs w:val="28"/>
        </w:rPr>
        <w:t>7</w:t>
      </w:r>
      <w:r w:rsidRPr="00C806F2">
        <w:rPr>
          <w:rFonts w:cs="Times New Roman"/>
          <w:szCs w:val="28"/>
        </w:rPr>
        <w:t>,</w:t>
      </w:r>
      <w:r w:rsidR="00F80EF9" w:rsidRPr="00C806F2">
        <w:rPr>
          <w:rFonts w:cs="Times New Roman"/>
          <w:szCs w:val="28"/>
        </w:rPr>
        <w:t xml:space="preserve"> 50,</w:t>
      </w:r>
      <w:r w:rsidR="00915B72" w:rsidRPr="00C806F2">
        <w:rPr>
          <w:rStyle w:val="aa"/>
          <w:rFonts w:cs="Times New Roman"/>
          <w:color w:val="auto"/>
          <w:szCs w:val="28"/>
          <w:u w:val="none"/>
        </w:rPr>
        <w:t xml:space="preserve"> 55,</w:t>
      </w:r>
      <w:r w:rsidR="00F80EF9" w:rsidRPr="00C806F2">
        <w:rPr>
          <w:rStyle w:val="aa"/>
          <w:rFonts w:cs="Times New Roman"/>
          <w:color w:val="auto"/>
          <w:szCs w:val="28"/>
          <w:u w:val="none"/>
        </w:rPr>
        <w:t xml:space="preserve"> 56, 58,</w:t>
      </w:r>
      <w:r w:rsidR="00915B72" w:rsidRPr="00C806F2">
        <w:rPr>
          <w:rStyle w:val="aa"/>
          <w:rFonts w:cs="Times New Roman"/>
          <w:color w:val="auto"/>
          <w:szCs w:val="28"/>
          <w:u w:val="none"/>
        </w:rPr>
        <w:t xml:space="preserve"> 62, 77, 86 З</w:t>
      </w:r>
      <w:r w:rsidRPr="00C806F2">
        <w:rPr>
          <w:rFonts w:cs="Times New Roman"/>
          <w:szCs w:val="28"/>
        </w:rPr>
        <w:t>акону України „Про Конституційний Суд України“</w:t>
      </w:r>
      <w:r w:rsidR="00F80EF9" w:rsidRPr="00C806F2">
        <w:rPr>
          <w:rFonts w:cs="Times New Roman"/>
          <w:szCs w:val="28"/>
        </w:rPr>
        <w:t>, відповідно до § 45, § 56 Регламенту Конституційного Суду України Друга колегія суддів Другого сенату</w:t>
      </w:r>
      <w:r w:rsidRPr="00C806F2">
        <w:rPr>
          <w:rFonts w:cs="Times New Roman"/>
          <w:szCs w:val="28"/>
        </w:rPr>
        <w:t xml:space="preserve"> Конституційн</w:t>
      </w:r>
      <w:r w:rsidR="00F80EF9" w:rsidRPr="00C806F2">
        <w:rPr>
          <w:rFonts w:cs="Times New Roman"/>
          <w:szCs w:val="28"/>
        </w:rPr>
        <w:t>ого</w:t>
      </w:r>
      <w:r w:rsidR="008B7BD1" w:rsidRPr="00C806F2">
        <w:rPr>
          <w:rFonts w:cs="Times New Roman"/>
          <w:szCs w:val="28"/>
        </w:rPr>
        <w:t xml:space="preserve"> </w:t>
      </w:r>
      <w:r w:rsidRPr="00C806F2">
        <w:rPr>
          <w:rFonts w:cs="Times New Roman"/>
          <w:szCs w:val="28"/>
        </w:rPr>
        <w:t>Суд</w:t>
      </w:r>
      <w:r w:rsidR="00F80EF9" w:rsidRPr="00C806F2">
        <w:rPr>
          <w:rFonts w:cs="Times New Roman"/>
          <w:szCs w:val="28"/>
        </w:rPr>
        <w:t>у</w:t>
      </w:r>
      <w:r w:rsidRPr="00C806F2">
        <w:rPr>
          <w:rFonts w:cs="Times New Roman"/>
          <w:szCs w:val="28"/>
        </w:rPr>
        <w:t xml:space="preserve"> України</w:t>
      </w:r>
    </w:p>
    <w:p w:rsidR="00482EF5" w:rsidRPr="00C806F2" w:rsidRDefault="00482EF5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482EF5" w:rsidRPr="00C806F2" w:rsidRDefault="00F80EF9" w:rsidP="00C806F2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bookmarkStart w:id="1" w:name="n66"/>
      <w:bookmarkEnd w:id="1"/>
      <w:r w:rsidRPr="00C806F2">
        <w:rPr>
          <w:rFonts w:cs="Times New Roman"/>
          <w:b/>
          <w:bCs/>
          <w:szCs w:val="28"/>
        </w:rPr>
        <w:t>у</w:t>
      </w:r>
      <w:r w:rsidR="00482EF5" w:rsidRPr="00C806F2">
        <w:rPr>
          <w:rFonts w:cs="Times New Roman"/>
          <w:b/>
          <w:bCs/>
          <w:szCs w:val="28"/>
        </w:rPr>
        <w:t xml:space="preserve"> </w:t>
      </w:r>
      <w:r w:rsidRPr="00C806F2">
        <w:rPr>
          <w:rFonts w:cs="Times New Roman"/>
          <w:b/>
          <w:bCs/>
          <w:szCs w:val="28"/>
        </w:rPr>
        <w:t>х</w:t>
      </w:r>
      <w:r w:rsidR="00482EF5" w:rsidRPr="00C806F2">
        <w:rPr>
          <w:rFonts w:cs="Times New Roman"/>
          <w:b/>
          <w:bCs/>
          <w:szCs w:val="28"/>
        </w:rPr>
        <w:t xml:space="preserve"> </w:t>
      </w:r>
      <w:r w:rsidRPr="00C806F2">
        <w:rPr>
          <w:rFonts w:cs="Times New Roman"/>
          <w:b/>
          <w:bCs/>
          <w:szCs w:val="28"/>
        </w:rPr>
        <w:t>в</w:t>
      </w:r>
      <w:r w:rsidR="00482EF5" w:rsidRPr="00C806F2">
        <w:rPr>
          <w:rFonts w:cs="Times New Roman"/>
          <w:b/>
          <w:bCs/>
          <w:szCs w:val="28"/>
        </w:rPr>
        <w:t xml:space="preserve"> </w:t>
      </w:r>
      <w:r w:rsidRPr="00C806F2">
        <w:rPr>
          <w:rFonts w:cs="Times New Roman"/>
          <w:b/>
          <w:bCs/>
          <w:szCs w:val="28"/>
        </w:rPr>
        <w:t>а</w:t>
      </w:r>
      <w:r w:rsidR="00482EF5" w:rsidRPr="00C806F2">
        <w:rPr>
          <w:rFonts w:cs="Times New Roman"/>
          <w:b/>
          <w:bCs/>
          <w:szCs w:val="28"/>
        </w:rPr>
        <w:t xml:space="preserve"> </w:t>
      </w:r>
      <w:r w:rsidRPr="00C806F2">
        <w:rPr>
          <w:rFonts w:cs="Times New Roman"/>
          <w:b/>
          <w:bCs/>
          <w:szCs w:val="28"/>
        </w:rPr>
        <w:t>л</w:t>
      </w:r>
      <w:r w:rsidR="00482EF5" w:rsidRPr="00C806F2">
        <w:rPr>
          <w:rFonts w:cs="Times New Roman"/>
          <w:b/>
          <w:bCs/>
          <w:szCs w:val="28"/>
        </w:rPr>
        <w:t xml:space="preserve"> и </w:t>
      </w:r>
      <w:r w:rsidRPr="00C806F2">
        <w:rPr>
          <w:rFonts w:cs="Times New Roman"/>
          <w:b/>
          <w:bCs/>
          <w:szCs w:val="28"/>
        </w:rPr>
        <w:t>л а</w:t>
      </w:r>
      <w:r w:rsidR="00482EF5" w:rsidRPr="00C806F2">
        <w:rPr>
          <w:rFonts w:cs="Times New Roman"/>
          <w:b/>
          <w:bCs/>
          <w:szCs w:val="28"/>
        </w:rPr>
        <w:t>:</w:t>
      </w:r>
    </w:p>
    <w:p w:rsidR="00A364EB" w:rsidRPr="00C806F2" w:rsidRDefault="00A364EB" w:rsidP="00C806F2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:rsidR="00482EF5" w:rsidRDefault="00482EF5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2" w:name="n67"/>
      <w:bookmarkEnd w:id="2"/>
      <w:r w:rsidRPr="00C806F2">
        <w:rPr>
          <w:rFonts w:cs="Times New Roman"/>
          <w:szCs w:val="28"/>
        </w:rPr>
        <w:t xml:space="preserve">1. </w:t>
      </w:r>
      <w:r w:rsidR="00F80EF9" w:rsidRPr="00C806F2">
        <w:rPr>
          <w:rFonts w:cs="Times New Roman"/>
          <w:szCs w:val="28"/>
        </w:rPr>
        <w:t xml:space="preserve">Відмовити у відкритті конституційного провадження у справі за конституційною скаргою Черних Андрія Федоровича щодо відповідності Конституції України (конституційності) положень частини першої статті 4, пунктів 1, 2 частини другої статті 7 Закону України „Про статус ветеранів війни, гарантії їх соціального захисту“ від 22 жовтня 1993 року </w:t>
      </w:r>
      <w:r w:rsidR="00F85E3F">
        <w:rPr>
          <w:rFonts w:cs="Times New Roman"/>
          <w:szCs w:val="28"/>
        </w:rPr>
        <w:t xml:space="preserve">№ </w:t>
      </w:r>
      <w:r w:rsidR="00F80EF9" w:rsidRPr="00C806F2">
        <w:rPr>
          <w:rFonts w:cs="Times New Roman"/>
          <w:szCs w:val="28"/>
        </w:rPr>
        <w:t>3551–XII</w:t>
      </w:r>
      <w:r w:rsidR="00C020DD" w:rsidRPr="00C806F2">
        <w:rPr>
          <w:rFonts w:cs="Times New Roman"/>
          <w:szCs w:val="28"/>
        </w:rPr>
        <w:t xml:space="preserve"> зі змінами</w:t>
      </w:r>
      <w:r w:rsidR="00F80EF9" w:rsidRPr="00C806F2">
        <w:rPr>
          <w:rFonts w:cs="Times New Roman"/>
          <w:szCs w:val="28"/>
        </w:rPr>
        <w:t xml:space="preserve"> на підставі пункт</w:t>
      </w:r>
      <w:r w:rsidR="00A364EB" w:rsidRPr="00C806F2">
        <w:rPr>
          <w:rFonts w:cs="Times New Roman"/>
          <w:szCs w:val="28"/>
        </w:rPr>
        <w:t xml:space="preserve">у </w:t>
      </w:r>
      <w:r w:rsidR="009B412D" w:rsidRPr="00C806F2">
        <w:rPr>
          <w:rFonts w:cs="Times New Roman"/>
          <w:szCs w:val="28"/>
        </w:rPr>
        <w:t xml:space="preserve">4 статті 62 </w:t>
      </w:r>
      <w:r w:rsidR="00F80EF9" w:rsidRPr="00C806F2">
        <w:rPr>
          <w:rFonts w:cs="Times New Roman"/>
          <w:szCs w:val="28"/>
        </w:rPr>
        <w:t>Закону України „Про Конституційний Суд України“ –</w:t>
      </w:r>
      <w:r w:rsidR="00F85E3F">
        <w:rPr>
          <w:rFonts w:cs="Times New Roman"/>
          <w:szCs w:val="28"/>
        </w:rPr>
        <w:t xml:space="preserve"> </w:t>
      </w:r>
      <w:r w:rsidR="009B412D" w:rsidRPr="00C806F2">
        <w:rPr>
          <w:rFonts w:cs="Times New Roman"/>
          <w:szCs w:val="28"/>
        </w:rPr>
        <w:t>неприйнятність конституційної скарги.</w:t>
      </w:r>
    </w:p>
    <w:p w:rsidR="00C806F2" w:rsidRPr="00C806F2" w:rsidRDefault="00C806F2" w:rsidP="00C806F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12FE8" w:rsidRDefault="00482EF5" w:rsidP="00012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3" w:name="n68"/>
      <w:bookmarkEnd w:id="3"/>
      <w:r w:rsidRPr="00C806F2">
        <w:rPr>
          <w:rFonts w:cs="Times New Roman"/>
          <w:szCs w:val="28"/>
        </w:rPr>
        <w:t xml:space="preserve">2. Ухвала </w:t>
      </w:r>
      <w:r w:rsidR="00F80EF9" w:rsidRPr="00C806F2">
        <w:rPr>
          <w:rFonts w:cs="Times New Roman"/>
          <w:szCs w:val="28"/>
        </w:rPr>
        <w:t>Другої колегії судді</w:t>
      </w:r>
      <w:r w:rsidR="00E26D36" w:rsidRPr="00C806F2">
        <w:rPr>
          <w:rFonts w:cs="Times New Roman"/>
          <w:szCs w:val="28"/>
        </w:rPr>
        <w:t>в</w:t>
      </w:r>
      <w:r w:rsidR="00F80EF9" w:rsidRPr="00C806F2">
        <w:rPr>
          <w:rFonts w:cs="Times New Roman"/>
          <w:szCs w:val="28"/>
        </w:rPr>
        <w:t xml:space="preserve"> </w:t>
      </w:r>
      <w:r w:rsidRPr="00C806F2">
        <w:rPr>
          <w:rFonts w:cs="Times New Roman"/>
          <w:szCs w:val="28"/>
        </w:rPr>
        <w:t>Другого сенату Конституційного Суду України є остаточною.</w:t>
      </w:r>
    </w:p>
    <w:p w:rsidR="00012FE8" w:rsidRDefault="00012FE8" w:rsidP="00012FE8">
      <w:pPr>
        <w:spacing w:after="0" w:line="240" w:lineRule="auto"/>
        <w:jc w:val="both"/>
        <w:rPr>
          <w:rFonts w:cs="Times New Roman"/>
          <w:szCs w:val="28"/>
        </w:rPr>
      </w:pPr>
    </w:p>
    <w:p w:rsidR="00012FE8" w:rsidRDefault="00012FE8" w:rsidP="00012FE8">
      <w:pPr>
        <w:spacing w:after="0" w:line="240" w:lineRule="auto"/>
        <w:jc w:val="both"/>
        <w:rPr>
          <w:rFonts w:cs="Times New Roman"/>
          <w:szCs w:val="28"/>
        </w:rPr>
      </w:pPr>
    </w:p>
    <w:p w:rsidR="00012FE8" w:rsidRDefault="00012FE8" w:rsidP="00012FE8">
      <w:pPr>
        <w:spacing w:after="0" w:line="240" w:lineRule="auto"/>
        <w:jc w:val="both"/>
        <w:rPr>
          <w:rFonts w:cs="Times New Roman"/>
          <w:szCs w:val="28"/>
        </w:rPr>
      </w:pPr>
    </w:p>
    <w:p w:rsidR="00012FE8" w:rsidRPr="00012FE8" w:rsidRDefault="00012FE8" w:rsidP="00012FE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012FE8">
        <w:rPr>
          <w:rFonts w:cs="Times New Roman"/>
          <w:b/>
          <w:caps/>
          <w:szCs w:val="28"/>
          <w:lang w:eastAsia="ru-RU"/>
        </w:rPr>
        <w:t>Друга колегія суддів</w:t>
      </w:r>
    </w:p>
    <w:p w:rsidR="00012FE8" w:rsidRPr="00012FE8" w:rsidRDefault="00012FE8" w:rsidP="00012FE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012FE8">
        <w:rPr>
          <w:rFonts w:cs="Times New Roman"/>
          <w:b/>
          <w:caps/>
          <w:szCs w:val="28"/>
          <w:lang w:eastAsia="ru-RU"/>
        </w:rPr>
        <w:t>Другого сенату</w:t>
      </w:r>
    </w:p>
    <w:p w:rsidR="00012FE8" w:rsidRPr="00C806F2" w:rsidRDefault="00012FE8" w:rsidP="00012FE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012FE8">
        <w:rPr>
          <w:rFonts w:cs="Times New Roman"/>
          <w:b/>
          <w:caps/>
          <w:szCs w:val="28"/>
          <w:lang w:eastAsia="ru-RU"/>
        </w:rPr>
        <w:t>Конституційного Суду України</w:t>
      </w:r>
    </w:p>
    <w:sectPr w:rsidR="00012FE8" w:rsidRPr="00C806F2" w:rsidSect="00C806F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4A" w:rsidRDefault="00E1284A">
      <w:pPr>
        <w:spacing w:after="0" w:line="240" w:lineRule="auto"/>
      </w:pPr>
      <w:r>
        <w:separator/>
      </w:r>
    </w:p>
  </w:endnote>
  <w:endnote w:type="continuationSeparator" w:id="0">
    <w:p w:rsidR="00E1284A" w:rsidRDefault="00E1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C806F2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012FE8">
      <w:rPr>
        <w:rFonts w:cs="Times New Roman"/>
        <w:noProof/>
        <w:sz w:val="10"/>
        <w:szCs w:val="10"/>
      </w:rPr>
      <w:t>G:\2021\Suddi\II senat\II koleg\33.docx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C806F2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012FE8">
      <w:rPr>
        <w:rFonts w:cs="Times New Roman"/>
        <w:noProof/>
        <w:sz w:val="10"/>
        <w:szCs w:val="10"/>
      </w:rPr>
      <w:t>G:\2021\Suddi\II senat\II koleg\33.docx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4A" w:rsidRDefault="00E1284A">
      <w:pPr>
        <w:spacing w:after="0" w:line="240" w:lineRule="auto"/>
      </w:pPr>
      <w:r>
        <w:separator/>
      </w:r>
    </w:p>
  </w:footnote>
  <w:footnote w:type="continuationSeparator" w:id="0">
    <w:p w:rsidR="00E1284A" w:rsidRDefault="00E1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5E3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12FE8"/>
    <w:rsid w:val="00073EE0"/>
    <w:rsid w:val="000A5A9A"/>
    <w:rsid w:val="000F0F0A"/>
    <w:rsid w:val="00121341"/>
    <w:rsid w:val="00121CD7"/>
    <w:rsid w:val="00155403"/>
    <w:rsid w:val="001A6C6C"/>
    <w:rsid w:val="001A79F2"/>
    <w:rsid w:val="001B141E"/>
    <w:rsid w:val="001C42BF"/>
    <w:rsid w:val="001D1042"/>
    <w:rsid w:val="001F24FF"/>
    <w:rsid w:val="002070A6"/>
    <w:rsid w:val="00214CF1"/>
    <w:rsid w:val="0022453D"/>
    <w:rsid w:val="00266DBC"/>
    <w:rsid w:val="00280617"/>
    <w:rsid w:val="002D3E5A"/>
    <w:rsid w:val="002D425F"/>
    <w:rsid w:val="002F0BBB"/>
    <w:rsid w:val="002F361B"/>
    <w:rsid w:val="00337F61"/>
    <w:rsid w:val="0034238B"/>
    <w:rsid w:val="00345A1E"/>
    <w:rsid w:val="00365CF1"/>
    <w:rsid w:val="00386EF7"/>
    <w:rsid w:val="003C2829"/>
    <w:rsid w:val="003E2717"/>
    <w:rsid w:val="003E5A8C"/>
    <w:rsid w:val="00432EE0"/>
    <w:rsid w:val="00446397"/>
    <w:rsid w:val="00447892"/>
    <w:rsid w:val="004620C3"/>
    <w:rsid w:val="00482EF5"/>
    <w:rsid w:val="004851CF"/>
    <w:rsid w:val="004A56B9"/>
    <w:rsid w:val="004C1351"/>
    <w:rsid w:val="004F3441"/>
    <w:rsid w:val="00501F5E"/>
    <w:rsid w:val="0050476B"/>
    <w:rsid w:val="0050659A"/>
    <w:rsid w:val="0051198E"/>
    <w:rsid w:val="0052071E"/>
    <w:rsid w:val="00542C2B"/>
    <w:rsid w:val="005670CA"/>
    <w:rsid w:val="00572671"/>
    <w:rsid w:val="00575E6E"/>
    <w:rsid w:val="005D0DC5"/>
    <w:rsid w:val="005D1ED0"/>
    <w:rsid w:val="005E1663"/>
    <w:rsid w:val="005F28A5"/>
    <w:rsid w:val="006176F4"/>
    <w:rsid w:val="00627BB2"/>
    <w:rsid w:val="00632CC2"/>
    <w:rsid w:val="00657A03"/>
    <w:rsid w:val="00671DD9"/>
    <w:rsid w:val="00687428"/>
    <w:rsid w:val="006925EA"/>
    <w:rsid w:val="0069558C"/>
    <w:rsid w:val="006C3AAB"/>
    <w:rsid w:val="006C5A26"/>
    <w:rsid w:val="006D6476"/>
    <w:rsid w:val="006E175D"/>
    <w:rsid w:val="006F5020"/>
    <w:rsid w:val="00706F75"/>
    <w:rsid w:val="007115A7"/>
    <w:rsid w:val="007136F7"/>
    <w:rsid w:val="00725B44"/>
    <w:rsid w:val="00726924"/>
    <w:rsid w:val="0073543C"/>
    <w:rsid w:val="0074226E"/>
    <w:rsid w:val="00773AAE"/>
    <w:rsid w:val="007935B3"/>
    <w:rsid w:val="00796520"/>
    <w:rsid w:val="007A274B"/>
    <w:rsid w:val="007C725D"/>
    <w:rsid w:val="00865062"/>
    <w:rsid w:val="008962C0"/>
    <w:rsid w:val="008B5DEC"/>
    <w:rsid w:val="008B7BD1"/>
    <w:rsid w:val="008C3842"/>
    <w:rsid w:val="008D70A0"/>
    <w:rsid w:val="008F0258"/>
    <w:rsid w:val="00902290"/>
    <w:rsid w:val="009041C9"/>
    <w:rsid w:val="00914858"/>
    <w:rsid w:val="00915B72"/>
    <w:rsid w:val="00920BDE"/>
    <w:rsid w:val="009444BB"/>
    <w:rsid w:val="00950A81"/>
    <w:rsid w:val="009A752C"/>
    <w:rsid w:val="009B412D"/>
    <w:rsid w:val="009F6867"/>
    <w:rsid w:val="00A155A9"/>
    <w:rsid w:val="00A364EB"/>
    <w:rsid w:val="00A570EB"/>
    <w:rsid w:val="00A82365"/>
    <w:rsid w:val="00AB54D3"/>
    <w:rsid w:val="00AE3087"/>
    <w:rsid w:val="00B04591"/>
    <w:rsid w:val="00B32A60"/>
    <w:rsid w:val="00B51283"/>
    <w:rsid w:val="00B7479A"/>
    <w:rsid w:val="00BC0129"/>
    <w:rsid w:val="00C020DD"/>
    <w:rsid w:val="00C23EA0"/>
    <w:rsid w:val="00C31F43"/>
    <w:rsid w:val="00C62B99"/>
    <w:rsid w:val="00C7193C"/>
    <w:rsid w:val="00C71DC8"/>
    <w:rsid w:val="00C806F2"/>
    <w:rsid w:val="00CB2708"/>
    <w:rsid w:val="00CB5124"/>
    <w:rsid w:val="00CC1890"/>
    <w:rsid w:val="00CE704D"/>
    <w:rsid w:val="00D70D21"/>
    <w:rsid w:val="00D744E0"/>
    <w:rsid w:val="00D91225"/>
    <w:rsid w:val="00D95286"/>
    <w:rsid w:val="00DB495A"/>
    <w:rsid w:val="00DC2D30"/>
    <w:rsid w:val="00DF3CCD"/>
    <w:rsid w:val="00E1284A"/>
    <w:rsid w:val="00E26D36"/>
    <w:rsid w:val="00E33705"/>
    <w:rsid w:val="00E33F38"/>
    <w:rsid w:val="00E42B26"/>
    <w:rsid w:val="00E540B1"/>
    <w:rsid w:val="00E83BAA"/>
    <w:rsid w:val="00EA0E25"/>
    <w:rsid w:val="00ED3DDE"/>
    <w:rsid w:val="00F13C55"/>
    <w:rsid w:val="00F20C06"/>
    <w:rsid w:val="00F61CA6"/>
    <w:rsid w:val="00F64EC2"/>
    <w:rsid w:val="00F70A8C"/>
    <w:rsid w:val="00F72E19"/>
    <w:rsid w:val="00F80EF9"/>
    <w:rsid w:val="00F85E3F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E45C-48D0-4385-852E-7A7C9981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8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5609</Words>
  <Characters>3198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2021-07-14T12:39:00Z</cp:lastPrinted>
  <dcterms:created xsi:type="dcterms:W3CDTF">2023-08-30T07:14:00Z</dcterms:created>
  <dcterms:modified xsi:type="dcterms:W3CDTF">2023-08-30T07:14:00Z</dcterms:modified>
</cp:coreProperties>
</file>