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16" w:rsidRDefault="0020637D">
      <w:pPr>
        <w:pStyle w:val="a3"/>
        <w:spacing w:before="134"/>
        <w:ind w:left="115" w:right="6255"/>
      </w:pPr>
      <w:bookmarkStart w:id="0" w:name="Décision_n__2016-745_DC"/>
      <w:bookmarkStart w:id="1" w:name="_GoBack"/>
      <w:bookmarkEnd w:id="0"/>
      <w:bookmarkEnd w:id="1"/>
      <w:r>
        <w:rPr>
          <w:u w:val="single"/>
        </w:rPr>
        <w:t>Décision n° 2016-745 DC</w:t>
      </w:r>
      <w:r>
        <w:t xml:space="preserve"> du 26 janvier 2017</w:t>
      </w:r>
    </w:p>
    <w:p w:rsidR="00A54C16" w:rsidRDefault="00A54C16">
      <w:pPr>
        <w:pStyle w:val="a3"/>
        <w:rPr>
          <w:sz w:val="30"/>
        </w:rPr>
      </w:pPr>
    </w:p>
    <w:p w:rsidR="00A54C16" w:rsidRDefault="00A54C16">
      <w:pPr>
        <w:pStyle w:val="a3"/>
        <w:spacing w:before="10"/>
        <w:rPr>
          <w:sz w:val="24"/>
        </w:rPr>
      </w:pPr>
    </w:p>
    <w:p w:rsidR="00A54C16" w:rsidRDefault="0020637D">
      <w:pPr>
        <w:pStyle w:val="a3"/>
        <w:ind w:left="115" w:right="5863"/>
      </w:pPr>
      <w:r>
        <w:t>(Loi relative à l’égalité et à la citoyenneté)</w:t>
      </w:r>
    </w:p>
    <w:p w:rsidR="00A54C16" w:rsidRDefault="00A54C16">
      <w:pPr>
        <w:pStyle w:val="a3"/>
        <w:rPr>
          <w:sz w:val="30"/>
        </w:rPr>
      </w:pPr>
    </w:p>
    <w:p w:rsidR="00A54C16" w:rsidRDefault="00A54C16">
      <w:pPr>
        <w:pStyle w:val="a3"/>
        <w:rPr>
          <w:sz w:val="30"/>
        </w:rPr>
      </w:pPr>
    </w:p>
    <w:p w:rsidR="00A54C16" w:rsidRDefault="0020637D">
      <w:pPr>
        <w:pStyle w:val="a3"/>
        <w:spacing w:before="180" w:line="322" w:lineRule="exact"/>
        <w:ind w:left="1390"/>
      </w:pPr>
      <w:r>
        <w:t>LE   CONSEIL   CONSTITUTIONNEL   A   ÉTÉ   SAISI,   dans</w:t>
      </w:r>
      <w:r>
        <w:rPr>
          <w:spacing w:val="14"/>
        </w:rPr>
        <w:t xml:space="preserve"> </w:t>
      </w:r>
      <w:r>
        <w:t>les</w:t>
      </w:r>
    </w:p>
    <w:p w:rsidR="00A54C16" w:rsidRDefault="0020637D">
      <w:pPr>
        <w:pStyle w:val="a3"/>
        <w:ind w:left="682" w:right="113"/>
        <w:jc w:val="both"/>
      </w:pPr>
      <w:r>
        <w:t>conditions prévues à l’article 61, deuxième alinéa de la Constitution, de la loi relative à l’égalité et  à  la  citoyenneté  sous  le  n°  2016-745  DC,  le 27 décembre 2016, par MM. Bruno RETAILLEAU, Pascal ALLIZARD, Gérard BAILLY, Philippe BAS, Christop</w:t>
      </w:r>
      <w:r>
        <w:t xml:space="preserve">he BÉCHU, Jérôme BIGNON, Jean BIZET, François BONHOMME, Gilbert BOUCHET, Michel BOUVARD, François-Noël BUFFET, François CALVET, Christian CAMBON,   Mme Agnès   CANAYER,   MM. Jean-Pierre </w:t>
      </w:r>
      <w:r>
        <w:rPr>
          <w:spacing w:val="52"/>
        </w:rPr>
        <w:t xml:space="preserve"> </w:t>
      </w:r>
      <w:r>
        <w:t>CANTEGRIT,</w:t>
      </w:r>
    </w:p>
    <w:p w:rsidR="00A54C16" w:rsidRDefault="0020637D">
      <w:pPr>
        <w:pStyle w:val="a3"/>
        <w:spacing w:line="321" w:lineRule="exact"/>
        <w:ind w:left="682"/>
        <w:jc w:val="both"/>
      </w:pPr>
      <w:r>
        <w:t>Jean-Noël  CARDOUX,  Jean-Claude  CARLE,  Mme Caroline</w:t>
      </w:r>
      <w:r>
        <w:rPr>
          <w:spacing w:val="21"/>
        </w:rPr>
        <w:t xml:space="preserve"> </w:t>
      </w:r>
      <w:r>
        <w:t>CA</w:t>
      </w:r>
      <w:r>
        <w:t>YEUX,</w:t>
      </w:r>
    </w:p>
    <w:p w:rsidR="00A54C16" w:rsidRDefault="0020637D">
      <w:pPr>
        <w:pStyle w:val="a3"/>
        <w:ind w:left="683" w:right="113" w:hanging="1"/>
        <w:jc w:val="both"/>
      </w:pPr>
      <w:r>
        <w:t>M. Gérard CÉSAR, Mme Anne CHAIN-LARCHÉ, MM. Patrick CHAIZE, Pierre CHARON, Daniel CHASSEING, Alain CHATILLON, François COMMEINHES, Gérard CORNU, Philippe DALLIER, René DANESI, Mathieu  DARNAUD,  Serge  DASSAULT,   Mme Isabelle   DEBRÉ, MM. Francis DE</w:t>
      </w:r>
      <w:r>
        <w:t xml:space="preserve">LATTRE, Robert </w:t>
      </w:r>
      <w:r>
        <w:rPr>
          <w:spacing w:val="-2"/>
        </w:rPr>
        <w:t xml:space="preserve">DEL </w:t>
      </w:r>
      <w:r>
        <w:t xml:space="preserve">PICCHIA, Gérard DÉRIOT, Mmes Catherine   DEROCHE,   Jacky    DEROMEDI,    Marie-Hélène DES ESGAULX, Chantal DESEYNE, Catherine DI FOLCO, MM. Éric DOLIGÉ,    Philippe    DOMINATI,    Mme    Marie-Annick  </w:t>
      </w:r>
      <w:r>
        <w:rPr>
          <w:spacing w:val="26"/>
        </w:rPr>
        <w:t xml:space="preserve"> </w:t>
      </w:r>
      <w:r>
        <w:t>DUCHÊNE,</w:t>
      </w:r>
    </w:p>
    <w:p w:rsidR="00A54C16" w:rsidRDefault="0020637D">
      <w:pPr>
        <w:pStyle w:val="a3"/>
        <w:spacing w:before="1"/>
        <w:ind w:left="683" w:right="113" w:hanging="1"/>
        <w:jc w:val="both"/>
      </w:pPr>
      <w:r>
        <w:t>M. Alain DUFAUT, Mme Nic</w:t>
      </w:r>
      <w:r>
        <w:t xml:space="preserve">ole DURANTON, MM. Jean-Louis DUVERNOIS, Jean-Paul ÉMORINE, Mme Dominique ESTROSI SASSONE, MM. Hubert FALCO, Michel FORISSIER, Alain FOUCHÉ, Bernard FOURNIER, Christophe FRASSA, Jean-Claude GAUDIN, Jacques   GAUTIER,   Jacques   GENEST,   Mme Frédérique </w:t>
      </w:r>
      <w:r>
        <w:rPr>
          <w:spacing w:val="13"/>
        </w:rPr>
        <w:t xml:space="preserve"> </w:t>
      </w:r>
      <w:r>
        <w:t>GE</w:t>
      </w:r>
      <w:r>
        <w:t>RBAUD,</w:t>
      </w:r>
    </w:p>
    <w:p w:rsidR="00A54C16" w:rsidRDefault="0020637D">
      <w:pPr>
        <w:pStyle w:val="a3"/>
        <w:ind w:left="684" w:right="110" w:hanging="1"/>
        <w:jc w:val="both"/>
      </w:pPr>
      <w:r>
        <w:t xml:space="preserve">M. Bruno GILLES, Mme Colette GIUDICELLI, MM. Alain GOURNAC, Jean-Pierre GRAND, Daniel GREMILLET, François GROSDIDIER, Jacques GROSPERRIN, Mme Pascale GRUNY, MM. Charles </w:t>
      </w:r>
      <w:r>
        <w:rPr>
          <w:spacing w:val="-2"/>
        </w:rPr>
        <w:t xml:space="preserve">GUENÉ, </w:t>
      </w:r>
      <w:r>
        <w:t>Alain HOUPERT, Mme Christiane HUMMEL, MM. Benoît HURÉ, Jean-François HUSS</w:t>
      </w:r>
      <w:r>
        <w:t>ON, Mme Corinne IMBERT, M. Alain JOYANDET, Mme Christiane KAMMERMANN, MM. Roger KAROUTCHI, Guy-Dominique KENNEL, Marc LAMÉNIE, Mme Élisabeth LAMURE, MM. Daniel LAURENT, Antoine LEFÈVRE, Jacques LEGENDRE, Dominique de LEGGE, Jean-Pierre LELEUX, Jean-Baptist</w:t>
      </w:r>
      <w:r>
        <w:t xml:space="preserve">e LEMOYNE, Jean-Claude LENOIR, Philippe LEROY, Gérard LONGUET, Mme Vivette LOPEZ,     MM. Michel     MAGRAS,     Claude     MALHURET,   </w:t>
      </w:r>
      <w:r>
        <w:rPr>
          <w:spacing w:val="23"/>
        </w:rPr>
        <w:t xml:space="preserve"> </w:t>
      </w:r>
      <w:r>
        <w:t>Didier</w:t>
      </w:r>
    </w:p>
    <w:p w:rsidR="00A54C16" w:rsidRDefault="00A54C16">
      <w:pPr>
        <w:jc w:val="both"/>
        <w:sectPr w:rsidR="00A54C16">
          <w:type w:val="continuous"/>
          <w:pgSz w:w="11910" w:h="16840"/>
          <w:pgMar w:top="1580" w:right="1300" w:bottom="280" w:left="1300" w:header="720" w:footer="720" w:gutter="0"/>
          <w:cols w:space="720"/>
        </w:sectPr>
      </w:pPr>
    </w:p>
    <w:p w:rsidR="00A54C16" w:rsidRDefault="0020637D">
      <w:pPr>
        <w:pStyle w:val="a3"/>
        <w:spacing w:before="79" w:line="242" w:lineRule="auto"/>
        <w:ind w:left="682" w:right="114" w:hanging="1"/>
        <w:jc w:val="both"/>
      </w:pPr>
      <w:r>
        <w:lastRenderedPageBreak/>
        <w:t>MANDELLI, Alain MARC, Jean-François MAYET, Mmes Colette MÉLOT,</w:t>
      </w:r>
      <w:r>
        <w:rPr>
          <w:spacing w:val="31"/>
        </w:rPr>
        <w:t xml:space="preserve"> </w:t>
      </w:r>
      <w:r>
        <w:t>Marie</w:t>
      </w:r>
      <w:r>
        <w:rPr>
          <w:spacing w:val="31"/>
        </w:rPr>
        <w:t xml:space="preserve"> </w:t>
      </w:r>
      <w:r>
        <w:t>MERCIER,</w:t>
      </w:r>
      <w:r>
        <w:rPr>
          <w:spacing w:val="30"/>
        </w:rPr>
        <w:t xml:space="preserve"> </w:t>
      </w:r>
      <w:r>
        <w:t>Brigitte</w:t>
      </w:r>
      <w:r>
        <w:rPr>
          <w:spacing w:val="31"/>
        </w:rPr>
        <w:t xml:space="preserve"> </w:t>
      </w:r>
      <w:r>
        <w:t>MICOULEAU,</w:t>
      </w:r>
      <w:r>
        <w:rPr>
          <w:spacing w:val="31"/>
        </w:rPr>
        <w:t xml:space="preserve"> </w:t>
      </w:r>
      <w:r>
        <w:t>MM.</w:t>
      </w:r>
      <w:r>
        <w:rPr>
          <w:spacing w:val="-3"/>
        </w:rPr>
        <w:t xml:space="preserve"> </w:t>
      </w:r>
      <w:r>
        <w:t>Alain</w:t>
      </w:r>
      <w:r>
        <w:rPr>
          <w:spacing w:val="30"/>
        </w:rPr>
        <w:t xml:space="preserve"> </w:t>
      </w:r>
      <w:r>
        <w:t>MILON,</w:t>
      </w:r>
    </w:p>
    <w:p w:rsidR="00A54C16" w:rsidRDefault="0020637D">
      <w:pPr>
        <w:pStyle w:val="a3"/>
        <w:ind w:left="682" w:right="113"/>
        <w:jc w:val="both"/>
      </w:pPr>
      <w:r>
        <w:t>Albéric  de  MONTGOLFIER,  Mme Patricia  MORHET-RICHAUD, MM. Jean-Marie MORISSET, Philippe MOUILLER, Philippe NACHBAR, Louis-Jean de NICOLAŸ, Claude NOUGEIN, Jean-Jacques PANUNZI, Philippe PAUL, Cyril PELLEVAT, Cédric PERRIN, Ja</w:t>
      </w:r>
      <w:r>
        <w:t xml:space="preserve">ckie PIERRE, François PILLET, Rémy POINTEREAU, Ladislas PONIATOWSKI, Hugues PORTELLI, Mmes Sophie PRIMAS, Catherine PROCACCIA, </w:t>
      </w:r>
      <w:r>
        <w:rPr>
          <w:spacing w:val="32"/>
        </w:rPr>
        <w:t xml:space="preserve"> </w:t>
      </w:r>
      <w:r>
        <w:t>MM.</w:t>
      </w:r>
      <w:r>
        <w:rPr>
          <w:spacing w:val="-3"/>
        </w:rPr>
        <w:t xml:space="preserve"> </w:t>
      </w:r>
      <w:r>
        <w:t xml:space="preserve">Jean-Pierre </w:t>
      </w:r>
      <w:r>
        <w:rPr>
          <w:spacing w:val="33"/>
        </w:rPr>
        <w:t xml:space="preserve"> </w:t>
      </w:r>
      <w:r>
        <w:t xml:space="preserve">RAFFARIN, </w:t>
      </w:r>
      <w:r>
        <w:rPr>
          <w:spacing w:val="32"/>
        </w:rPr>
        <w:t xml:space="preserve"> </w:t>
      </w:r>
      <w:r>
        <w:t xml:space="preserve">Henri </w:t>
      </w:r>
      <w:r>
        <w:rPr>
          <w:spacing w:val="31"/>
        </w:rPr>
        <w:t xml:space="preserve"> </w:t>
      </w:r>
      <w:r>
        <w:t xml:space="preserve">de </w:t>
      </w:r>
      <w:r>
        <w:rPr>
          <w:spacing w:val="33"/>
        </w:rPr>
        <w:t xml:space="preserve"> </w:t>
      </w:r>
      <w:r>
        <w:t>RAINCOURT,</w:t>
      </w:r>
    </w:p>
    <w:p w:rsidR="00A54C16" w:rsidRDefault="0020637D">
      <w:pPr>
        <w:pStyle w:val="a3"/>
        <w:ind w:left="683" w:right="113"/>
        <w:jc w:val="both"/>
      </w:pPr>
      <w:r>
        <w:t>Michel RAISON, Jean-François RAPIN, André REICHARDT, Charles REVET, Bernard SA</w:t>
      </w:r>
      <w:r>
        <w:t>UGEY, René-Paul SAVARY, Michel SAVIN, Bruno SIDO, Abdourahamane SOILIHI, André TRILLARD, Mme Catherine TROENDLÉ, MM. Michel VASPART, Alain VASSELLE, Hilarion VENDEGOU et Jean-Pierre VIAL, sénateurs.</w:t>
      </w:r>
    </w:p>
    <w:p w:rsidR="00A54C16" w:rsidRDefault="0020637D">
      <w:pPr>
        <w:pStyle w:val="a3"/>
        <w:spacing w:before="234"/>
        <w:ind w:left="683" w:right="113" w:firstLine="707"/>
        <w:jc w:val="both"/>
      </w:pPr>
      <w:r>
        <w:t>Il a également été saisi le 27 décembre 2016, par MM. Chr</w:t>
      </w:r>
      <w:r>
        <w:t>istian JACOB, Damien ABAD, Élie ABOUD, Bernard ACCOYER, Benoist APPARU, Olivier AUDIBERT-TROIN, Patrick BALKANY, Sylvain BERRIOS, Xavier BRETON, Gérard CHERPION, Guillaume CHEVROLLIER, Alain CHRÉTIEN, Jean-Louis CHRIST, Dino</w:t>
      </w:r>
      <w:r>
        <w:rPr>
          <w:spacing w:val="11"/>
        </w:rPr>
        <w:t xml:space="preserve"> </w:t>
      </w:r>
      <w:r>
        <w:t>CINIERI,</w:t>
      </w:r>
    </w:p>
    <w:p w:rsidR="00A54C16" w:rsidRDefault="0020637D">
      <w:pPr>
        <w:pStyle w:val="a3"/>
        <w:ind w:left="683" w:right="111"/>
        <w:jc w:val="both"/>
      </w:pPr>
      <w:r>
        <w:t>Philippe COCHET, Jean-</w:t>
      </w:r>
      <w:r>
        <w:t>Louis COSTES, Jean-Michel COUVE, Mme Marie-Christine DALLOZ, MM. Bernard DEBRÉ, Bernard DEFLESSELLES, Julien DIVE, David DOUILLET, Mme Virginie DUBY-MULLER, M. Georges FENECH, Mme Marie-Louise FORT, MM. Yves FOULON, Marc FRANCINA, Laurent FURST, Sauveur GA</w:t>
      </w:r>
      <w:r>
        <w:t xml:space="preserve">NDOLFI-SCHEIT,  Hervé  GAYMARD,  Mme   Annie </w:t>
      </w:r>
      <w:r>
        <w:rPr>
          <w:spacing w:val="44"/>
        </w:rPr>
        <w:t xml:space="preserve"> </w:t>
      </w:r>
      <w:r>
        <w:t>GENEVARD,</w:t>
      </w:r>
    </w:p>
    <w:p w:rsidR="00A54C16" w:rsidRDefault="0020637D">
      <w:pPr>
        <w:pStyle w:val="a3"/>
        <w:ind w:left="684" w:right="111"/>
        <w:jc w:val="both"/>
      </w:pPr>
      <w:r>
        <w:t>MM. Guy GEOFFROY, Bernard GÉRARD, Alain GEST, Daniel GIBBES, Franck GILARD, Claude GOASGUEN, Philippe GOUJON, Mme Claude GREFF,    M. Serge    GROUARD,     Mme     Françoise     GUÉGOT, MM. Jean-Claud</w:t>
      </w:r>
      <w:r>
        <w:t xml:space="preserve">e GUIBAL, Michel HEINRICH, Antoine HERTH, Patrick HETZEL, Denis JACQUAT, Christian KERT, Mme Nathalie KOSCIUSKO-MORIZET, M. Jacques KOSSOWSKI, Mmes Valérie LACROUTE, </w:t>
      </w:r>
      <w:r>
        <w:rPr>
          <w:spacing w:val="31"/>
        </w:rPr>
        <w:t xml:space="preserve"> </w:t>
      </w:r>
      <w:r>
        <w:t xml:space="preserve">Laure </w:t>
      </w:r>
      <w:r>
        <w:rPr>
          <w:spacing w:val="32"/>
        </w:rPr>
        <w:t xml:space="preserve"> </w:t>
      </w:r>
      <w:r>
        <w:t xml:space="preserve">de </w:t>
      </w:r>
      <w:r>
        <w:rPr>
          <w:spacing w:val="33"/>
        </w:rPr>
        <w:t xml:space="preserve"> </w:t>
      </w:r>
      <w:r>
        <w:t xml:space="preserve">LA </w:t>
      </w:r>
      <w:r>
        <w:rPr>
          <w:spacing w:val="31"/>
        </w:rPr>
        <w:t xml:space="preserve"> </w:t>
      </w:r>
      <w:r>
        <w:t xml:space="preserve">RAUDIÈRE, </w:t>
      </w:r>
      <w:r>
        <w:rPr>
          <w:spacing w:val="32"/>
        </w:rPr>
        <w:t xml:space="preserve"> </w:t>
      </w:r>
      <w:r>
        <w:t>MM.</w:t>
      </w:r>
      <w:r>
        <w:rPr>
          <w:spacing w:val="-3"/>
        </w:rPr>
        <w:t xml:space="preserve"> </w:t>
      </w:r>
      <w:r>
        <w:t xml:space="preserve">Guillaume </w:t>
      </w:r>
      <w:r>
        <w:rPr>
          <w:spacing w:val="32"/>
        </w:rPr>
        <w:t xml:space="preserve"> </w:t>
      </w:r>
      <w:r>
        <w:t>LARRIVÉ,</w:t>
      </w:r>
    </w:p>
    <w:p w:rsidR="00A54C16" w:rsidRDefault="0020637D">
      <w:pPr>
        <w:pStyle w:val="a3"/>
        <w:ind w:left="684" w:right="111"/>
        <w:jc w:val="both"/>
      </w:pPr>
      <w:r>
        <w:t>Vincent LEDOUX, Marc LE FUR, Pierre LEQUILLER, Céleste LETT, Mme Véronique LOUWAGIE, MM. Jean-François MANCEL, Thierry MARIANI, Olivier MARLEIX, Patrice MARTIN-LALANDE, Alain MARTY, Jean-Claude MATHIS, François de MAZIÈRES, Gérard MENUEL, Damien MESLOT, Pi</w:t>
      </w:r>
      <w:r>
        <w:t>erre MORANGE, Yannick MOREAU, Alain MOYNE-BRESSAND, Jacques MYARD, Mme Dominique NACHURY, MM. Patrick OLLIER, Jacques PÉLISSARD, Bernard PERRUT, Jean-Frédéric POISSON, Mme Josette PONS, MM. Christophe PRIOU, Didier QUENTIN, Frédéric REISS, Paul SALEN, Fran</w:t>
      </w:r>
      <w:r>
        <w:t xml:space="preserve">çois SCELLIER,  André  SCHNEIDER,  Thierry  SOLÈRE,  Claude  </w:t>
      </w:r>
      <w:r>
        <w:rPr>
          <w:spacing w:val="4"/>
        </w:rPr>
        <w:t xml:space="preserve"> </w:t>
      </w:r>
      <w:r>
        <w:t>STURNI,</w:t>
      </w:r>
    </w:p>
    <w:p w:rsidR="00A54C16" w:rsidRDefault="00A54C16">
      <w:pPr>
        <w:jc w:val="both"/>
        <w:sectPr w:rsidR="00A54C16">
          <w:headerReference w:type="default" r:id="rId7"/>
          <w:pgSz w:w="11910" w:h="16840"/>
          <w:pgMar w:top="1320" w:right="1300" w:bottom="280" w:left="1300" w:header="712" w:footer="0" w:gutter="0"/>
          <w:pgNumType w:start="2"/>
          <w:cols w:space="720"/>
        </w:sectPr>
      </w:pPr>
    </w:p>
    <w:p w:rsidR="00A54C16" w:rsidRDefault="0020637D">
      <w:pPr>
        <w:pStyle w:val="a3"/>
        <w:spacing w:before="79"/>
        <w:ind w:left="682" w:right="116"/>
        <w:jc w:val="both"/>
      </w:pPr>
      <w:r>
        <w:lastRenderedPageBreak/>
        <w:t>Jean-Charles TAUGOURDEAU, Michel TERROT, Pascal THÉVENOT, Dominique TIAN, Mme Catherine VAUTRIN, MM. Arnaud VIALA, Jean-Pierre VIGIE, Michel VOISIN et Mme Marie-Jo ZIMMERMANN, députés.</w:t>
      </w:r>
    </w:p>
    <w:p w:rsidR="00A54C16" w:rsidRDefault="00A54C16">
      <w:pPr>
        <w:pStyle w:val="a3"/>
        <w:rPr>
          <w:sz w:val="30"/>
        </w:rPr>
      </w:pPr>
    </w:p>
    <w:p w:rsidR="00A54C16" w:rsidRDefault="0020637D">
      <w:pPr>
        <w:pStyle w:val="a3"/>
        <w:spacing w:before="205"/>
        <w:ind w:left="1817"/>
      </w:pPr>
      <w:r>
        <w:rPr>
          <w:u w:val="single"/>
        </w:rPr>
        <w:t>Au vu des textes suivants</w:t>
      </w:r>
      <w:r>
        <w:t xml:space="preserve"> :</w:t>
      </w:r>
    </w:p>
    <w:p w:rsidR="00A54C16" w:rsidRDefault="0020637D">
      <w:pPr>
        <w:pStyle w:val="a4"/>
        <w:numPr>
          <w:ilvl w:val="0"/>
          <w:numId w:val="3"/>
        </w:numPr>
        <w:tabs>
          <w:tab w:val="left" w:pos="2029"/>
        </w:tabs>
        <w:spacing w:before="240"/>
        <w:ind w:left="2028" w:right="0"/>
        <w:jc w:val="left"/>
        <w:rPr>
          <w:sz w:val="28"/>
        </w:rPr>
      </w:pPr>
      <w:r>
        <w:rPr>
          <w:sz w:val="28"/>
        </w:rPr>
        <w:t>la Constitution</w:t>
      </w:r>
      <w:r>
        <w:rPr>
          <w:spacing w:val="-4"/>
          <w:sz w:val="28"/>
        </w:rPr>
        <w:t xml:space="preserve"> </w:t>
      </w:r>
      <w:r>
        <w:rPr>
          <w:sz w:val="28"/>
        </w:rPr>
        <w:t>;</w:t>
      </w:r>
    </w:p>
    <w:p w:rsidR="00A54C16" w:rsidRDefault="0020637D">
      <w:pPr>
        <w:pStyle w:val="a4"/>
        <w:numPr>
          <w:ilvl w:val="0"/>
          <w:numId w:val="3"/>
        </w:numPr>
        <w:tabs>
          <w:tab w:val="left" w:pos="2029"/>
        </w:tabs>
        <w:spacing w:before="239"/>
        <w:ind w:right="115" w:firstLine="1135"/>
        <w:jc w:val="left"/>
        <w:rPr>
          <w:sz w:val="28"/>
        </w:rPr>
      </w:pPr>
      <w:r>
        <w:rPr>
          <w:sz w:val="28"/>
        </w:rPr>
        <w:t xml:space="preserve">l’ordonnance n° 58-1067 </w:t>
      </w:r>
      <w:r>
        <w:rPr>
          <w:sz w:val="28"/>
        </w:rPr>
        <w:t>du 7 novembre 1958 modifiée portant loi organique sur le Conseil constitutionnel</w:t>
      </w:r>
      <w:r>
        <w:rPr>
          <w:spacing w:val="-10"/>
          <w:sz w:val="28"/>
        </w:rPr>
        <w:t xml:space="preserve"> </w:t>
      </w:r>
      <w:r>
        <w:rPr>
          <w:sz w:val="28"/>
        </w:rPr>
        <w:t>;</w:t>
      </w:r>
    </w:p>
    <w:p w:rsidR="00A54C16" w:rsidRDefault="0020637D">
      <w:pPr>
        <w:pStyle w:val="a4"/>
        <w:numPr>
          <w:ilvl w:val="0"/>
          <w:numId w:val="3"/>
        </w:numPr>
        <w:tabs>
          <w:tab w:val="left" w:pos="2029"/>
        </w:tabs>
        <w:spacing w:before="240"/>
        <w:ind w:right="115" w:firstLine="1135"/>
        <w:rPr>
          <w:sz w:val="28"/>
        </w:rPr>
      </w:pPr>
      <w:r>
        <w:rPr>
          <w:sz w:val="28"/>
        </w:rPr>
        <w:t>la convention du Conseil de l’Europe sur la prévention et la lutte contre la violence à l’égard des femmes et la violence domestique du 12 avril 2011</w:t>
      </w:r>
      <w:r>
        <w:rPr>
          <w:spacing w:val="-2"/>
          <w:sz w:val="28"/>
        </w:rPr>
        <w:t xml:space="preserve"> </w:t>
      </w:r>
      <w:r>
        <w:rPr>
          <w:sz w:val="28"/>
        </w:rPr>
        <w:t>;</w:t>
      </w:r>
    </w:p>
    <w:p w:rsidR="00A54C16" w:rsidRDefault="0020637D">
      <w:pPr>
        <w:pStyle w:val="a4"/>
        <w:numPr>
          <w:ilvl w:val="0"/>
          <w:numId w:val="3"/>
        </w:numPr>
        <w:tabs>
          <w:tab w:val="left" w:pos="2061"/>
        </w:tabs>
        <w:spacing w:before="241"/>
        <w:ind w:right="114" w:firstLine="1135"/>
        <w:rPr>
          <w:sz w:val="28"/>
        </w:rPr>
      </w:pPr>
      <w:r>
        <w:rPr>
          <w:sz w:val="28"/>
        </w:rPr>
        <w:t>la directive 2011/95/</w:t>
      </w:r>
      <w:r>
        <w:rPr>
          <w:sz w:val="28"/>
        </w:rPr>
        <w:t xml:space="preserve">UE du Parlement européen et du Conseil du 13 décembre 2011 concernant les normes relatives aux conditions que doivent remplir les ressortissants des </w:t>
      </w:r>
      <w:r>
        <w:rPr>
          <w:spacing w:val="-3"/>
          <w:sz w:val="28"/>
        </w:rPr>
        <w:t xml:space="preserve">pays </w:t>
      </w:r>
      <w:r>
        <w:rPr>
          <w:sz w:val="28"/>
        </w:rPr>
        <w:t>tiers ou les apatrides pour pouvoir bénéficier d’une protection internationale, à un statut uniforme p</w:t>
      </w:r>
      <w:r>
        <w:rPr>
          <w:sz w:val="28"/>
        </w:rPr>
        <w:t>our les réfugiés ou les personnes pouvant bénéficier de la protection subsidiaire, et au contenu de cette protection</w:t>
      </w:r>
      <w:r>
        <w:rPr>
          <w:spacing w:val="-6"/>
          <w:sz w:val="28"/>
        </w:rPr>
        <w:t xml:space="preserve"> </w:t>
      </w:r>
      <w:r>
        <w:rPr>
          <w:sz w:val="28"/>
        </w:rPr>
        <w:t>;</w:t>
      </w:r>
    </w:p>
    <w:p w:rsidR="00A54C16" w:rsidRDefault="0020637D">
      <w:pPr>
        <w:pStyle w:val="a4"/>
        <w:numPr>
          <w:ilvl w:val="0"/>
          <w:numId w:val="3"/>
        </w:numPr>
        <w:tabs>
          <w:tab w:val="left" w:pos="2030"/>
        </w:tabs>
        <w:spacing w:before="240"/>
        <w:ind w:left="2029" w:right="0" w:hanging="213"/>
        <w:jc w:val="left"/>
        <w:rPr>
          <w:sz w:val="28"/>
        </w:rPr>
      </w:pPr>
      <w:r>
        <w:rPr>
          <w:sz w:val="28"/>
        </w:rPr>
        <w:t>le code général des collectivités territoriales</w:t>
      </w:r>
      <w:r>
        <w:rPr>
          <w:spacing w:val="-11"/>
          <w:sz w:val="28"/>
        </w:rPr>
        <w:t xml:space="preserve"> </w:t>
      </w:r>
      <w:r>
        <w:rPr>
          <w:sz w:val="28"/>
        </w:rPr>
        <w:t>;</w:t>
      </w:r>
    </w:p>
    <w:p w:rsidR="00A54C16" w:rsidRDefault="0020637D">
      <w:pPr>
        <w:pStyle w:val="a4"/>
        <w:numPr>
          <w:ilvl w:val="0"/>
          <w:numId w:val="3"/>
        </w:numPr>
        <w:tabs>
          <w:tab w:val="left" w:pos="2030"/>
        </w:tabs>
        <w:spacing w:before="239"/>
        <w:ind w:left="2029" w:right="0" w:hanging="213"/>
        <w:jc w:val="left"/>
        <w:rPr>
          <w:sz w:val="28"/>
        </w:rPr>
      </w:pPr>
      <w:r>
        <w:rPr>
          <w:sz w:val="28"/>
        </w:rPr>
        <w:t>le code de la construction et de l’habitation</w:t>
      </w:r>
      <w:r>
        <w:rPr>
          <w:spacing w:val="-10"/>
          <w:sz w:val="28"/>
        </w:rPr>
        <w:t xml:space="preserve"> </w:t>
      </w:r>
      <w:r>
        <w:rPr>
          <w:sz w:val="28"/>
        </w:rPr>
        <w:t>;</w:t>
      </w:r>
    </w:p>
    <w:p w:rsidR="00A54C16" w:rsidRDefault="0020637D">
      <w:pPr>
        <w:pStyle w:val="a4"/>
        <w:numPr>
          <w:ilvl w:val="0"/>
          <w:numId w:val="3"/>
        </w:numPr>
        <w:tabs>
          <w:tab w:val="left" w:pos="2030"/>
        </w:tabs>
        <w:spacing w:before="240"/>
        <w:ind w:left="2029" w:right="0" w:hanging="213"/>
        <w:jc w:val="left"/>
        <w:rPr>
          <w:sz w:val="28"/>
        </w:rPr>
      </w:pPr>
      <w:r>
        <w:rPr>
          <w:sz w:val="28"/>
        </w:rPr>
        <w:t>le code de l’éducation</w:t>
      </w:r>
      <w:r>
        <w:rPr>
          <w:spacing w:val="-6"/>
          <w:sz w:val="28"/>
        </w:rPr>
        <w:t xml:space="preserve"> </w:t>
      </w:r>
      <w:r>
        <w:rPr>
          <w:sz w:val="28"/>
        </w:rPr>
        <w:t>;</w:t>
      </w:r>
    </w:p>
    <w:p w:rsidR="00A54C16" w:rsidRDefault="0020637D">
      <w:pPr>
        <w:pStyle w:val="a4"/>
        <w:numPr>
          <w:ilvl w:val="0"/>
          <w:numId w:val="3"/>
        </w:numPr>
        <w:tabs>
          <w:tab w:val="left" w:pos="2030"/>
        </w:tabs>
        <w:spacing w:before="240"/>
        <w:ind w:left="2029" w:right="0"/>
        <w:jc w:val="left"/>
        <w:rPr>
          <w:sz w:val="28"/>
        </w:rPr>
      </w:pPr>
      <w:r>
        <w:rPr>
          <w:sz w:val="28"/>
        </w:rPr>
        <w:t>le code pénal</w:t>
      </w:r>
      <w:r>
        <w:rPr>
          <w:spacing w:val="-3"/>
          <w:sz w:val="28"/>
        </w:rPr>
        <w:t xml:space="preserve"> </w:t>
      </w:r>
      <w:r>
        <w:rPr>
          <w:sz w:val="28"/>
        </w:rPr>
        <w:t>;</w:t>
      </w:r>
    </w:p>
    <w:p w:rsidR="00A54C16" w:rsidRDefault="0020637D">
      <w:pPr>
        <w:pStyle w:val="a4"/>
        <w:numPr>
          <w:ilvl w:val="0"/>
          <w:numId w:val="3"/>
        </w:numPr>
        <w:tabs>
          <w:tab w:val="left" w:pos="2030"/>
        </w:tabs>
        <w:spacing w:before="239"/>
        <w:ind w:left="2029" w:right="0"/>
        <w:jc w:val="left"/>
        <w:rPr>
          <w:sz w:val="28"/>
        </w:rPr>
      </w:pPr>
      <w:r>
        <w:rPr>
          <w:sz w:val="28"/>
        </w:rPr>
        <w:t>le code de procédure pénale</w:t>
      </w:r>
      <w:r>
        <w:rPr>
          <w:spacing w:val="-5"/>
          <w:sz w:val="28"/>
        </w:rPr>
        <w:t xml:space="preserve"> </w:t>
      </w:r>
      <w:r>
        <w:rPr>
          <w:sz w:val="28"/>
        </w:rPr>
        <w:t>;</w:t>
      </w:r>
    </w:p>
    <w:p w:rsidR="00A54C16" w:rsidRDefault="0020637D">
      <w:pPr>
        <w:pStyle w:val="a4"/>
        <w:numPr>
          <w:ilvl w:val="0"/>
          <w:numId w:val="3"/>
        </w:numPr>
        <w:tabs>
          <w:tab w:val="left" w:pos="2030"/>
        </w:tabs>
        <w:spacing w:before="242"/>
        <w:ind w:left="2029" w:right="0"/>
        <w:jc w:val="left"/>
        <w:rPr>
          <w:sz w:val="28"/>
        </w:rPr>
      </w:pPr>
      <w:r>
        <w:rPr>
          <w:sz w:val="28"/>
        </w:rPr>
        <w:t>le code du travail</w:t>
      </w:r>
      <w:r>
        <w:rPr>
          <w:spacing w:val="-3"/>
          <w:sz w:val="28"/>
        </w:rPr>
        <w:t xml:space="preserve"> </w:t>
      </w:r>
      <w:r>
        <w:rPr>
          <w:sz w:val="28"/>
        </w:rPr>
        <w:t>;</w:t>
      </w:r>
    </w:p>
    <w:p w:rsidR="00A54C16" w:rsidRDefault="0020637D">
      <w:pPr>
        <w:pStyle w:val="a4"/>
        <w:numPr>
          <w:ilvl w:val="0"/>
          <w:numId w:val="3"/>
        </w:numPr>
        <w:tabs>
          <w:tab w:val="left" w:pos="2030"/>
        </w:tabs>
        <w:spacing w:before="240"/>
        <w:ind w:left="2029" w:right="0"/>
        <w:jc w:val="left"/>
        <w:rPr>
          <w:sz w:val="28"/>
        </w:rPr>
      </w:pPr>
      <w:r>
        <w:rPr>
          <w:sz w:val="28"/>
        </w:rPr>
        <w:t>la loi du 29 juillet 1881 sur la liberté de la presse</w:t>
      </w:r>
      <w:r>
        <w:rPr>
          <w:spacing w:val="-18"/>
          <w:sz w:val="28"/>
        </w:rPr>
        <w:t xml:space="preserve"> </w:t>
      </w:r>
      <w:r>
        <w:rPr>
          <w:sz w:val="28"/>
        </w:rPr>
        <w:t>;</w:t>
      </w:r>
    </w:p>
    <w:p w:rsidR="00A54C16" w:rsidRDefault="0020637D">
      <w:pPr>
        <w:pStyle w:val="a4"/>
        <w:numPr>
          <w:ilvl w:val="0"/>
          <w:numId w:val="3"/>
        </w:numPr>
        <w:tabs>
          <w:tab w:val="left" w:pos="2030"/>
        </w:tabs>
        <w:spacing w:before="240"/>
        <w:ind w:left="683" w:right="112" w:firstLine="1135"/>
        <w:jc w:val="left"/>
        <w:rPr>
          <w:sz w:val="28"/>
        </w:rPr>
      </w:pPr>
      <w:r>
        <w:rPr>
          <w:sz w:val="28"/>
        </w:rPr>
        <w:t>la loi n° 65-557 du 10 juillet 1965 fixant le statut de la copropriété des immeubles bâtis</w:t>
      </w:r>
      <w:r>
        <w:rPr>
          <w:spacing w:val="-3"/>
          <w:sz w:val="28"/>
        </w:rPr>
        <w:t xml:space="preserve"> </w:t>
      </w:r>
      <w:r>
        <w:rPr>
          <w:sz w:val="28"/>
        </w:rPr>
        <w:t>;</w:t>
      </w:r>
    </w:p>
    <w:p w:rsidR="00A54C16" w:rsidRDefault="0020637D">
      <w:pPr>
        <w:pStyle w:val="a4"/>
        <w:numPr>
          <w:ilvl w:val="0"/>
          <w:numId w:val="3"/>
        </w:numPr>
        <w:tabs>
          <w:tab w:val="left" w:pos="2030"/>
        </w:tabs>
        <w:spacing w:before="239"/>
        <w:ind w:left="683" w:firstLine="1135"/>
        <w:jc w:val="left"/>
        <w:rPr>
          <w:sz w:val="28"/>
        </w:rPr>
      </w:pPr>
      <w:r>
        <w:rPr>
          <w:sz w:val="28"/>
        </w:rPr>
        <w:t>la loi n° 98-657 du 29 juillet 1998 d’orientation rela</w:t>
      </w:r>
      <w:r>
        <w:rPr>
          <w:sz w:val="28"/>
        </w:rPr>
        <w:t>tive à la lutte contre les exclusions</w:t>
      </w:r>
      <w:r>
        <w:rPr>
          <w:spacing w:val="-3"/>
          <w:sz w:val="28"/>
        </w:rPr>
        <w:t xml:space="preserve"> </w:t>
      </w:r>
      <w:r>
        <w:rPr>
          <w:sz w:val="28"/>
        </w:rPr>
        <w:t>;</w:t>
      </w:r>
    </w:p>
    <w:p w:rsidR="00A54C16" w:rsidRDefault="0020637D">
      <w:pPr>
        <w:pStyle w:val="a4"/>
        <w:numPr>
          <w:ilvl w:val="0"/>
          <w:numId w:val="3"/>
        </w:numPr>
        <w:tabs>
          <w:tab w:val="left" w:pos="2030"/>
        </w:tabs>
        <w:spacing w:before="241"/>
        <w:ind w:left="683" w:right="115" w:firstLine="1135"/>
        <w:jc w:val="left"/>
        <w:rPr>
          <w:sz w:val="28"/>
        </w:rPr>
      </w:pPr>
      <w:r>
        <w:rPr>
          <w:sz w:val="28"/>
        </w:rPr>
        <w:t>la loi n° 2000-614 du 5 juillet 2000 relative à l’accueil et à l’habitat des gens du voyage</w:t>
      </w:r>
      <w:r>
        <w:rPr>
          <w:spacing w:val="-4"/>
          <w:sz w:val="28"/>
        </w:rPr>
        <w:t xml:space="preserve"> </w:t>
      </w:r>
      <w:r>
        <w:rPr>
          <w:sz w:val="28"/>
        </w:rPr>
        <w:t>;</w:t>
      </w:r>
    </w:p>
    <w:p w:rsidR="00A54C16" w:rsidRDefault="00A54C16">
      <w:pPr>
        <w:rPr>
          <w:sz w:val="28"/>
        </w:rPr>
        <w:sectPr w:rsidR="00A54C16">
          <w:pgSz w:w="11910" w:h="16840"/>
          <w:pgMar w:top="1320" w:right="1300" w:bottom="280" w:left="1300" w:header="712" w:footer="0" w:gutter="0"/>
          <w:cols w:space="720"/>
        </w:sectPr>
      </w:pPr>
    </w:p>
    <w:p w:rsidR="00A54C16" w:rsidRDefault="0020637D">
      <w:pPr>
        <w:pStyle w:val="a4"/>
        <w:numPr>
          <w:ilvl w:val="0"/>
          <w:numId w:val="3"/>
        </w:numPr>
        <w:tabs>
          <w:tab w:val="left" w:pos="2029"/>
          <w:tab w:val="left" w:pos="3792"/>
          <w:tab w:val="left" w:pos="5475"/>
          <w:tab w:val="left" w:pos="6041"/>
          <w:tab w:val="left" w:pos="6610"/>
          <w:tab w:val="left" w:pos="7549"/>
          <w:tab w:val="left" w:pos="8396"/>
        </w:tabs>
        <w:spacing w:before="79" w:line="242" w:lineRule="auto"/>
        <w:ind w:right="117" w:firstLine="1135"/>
        <w:jc w:val="left"/>
        <w:rPr>
          <w:sz w:val="28"/>
        </w:rPr>
      </w:pPr>
      <w:r>
        <w:rPr>
          <w:sz w:val="28"/>
        </w:rPr>
        <w:lastRenderedPageBreak/>
        <w:t>l’ordonnance</w:t>
      </w:r>
      <w:r>
        <w:rPr>
          <w:sz w:val="28"/>
        </w:rPr>
        <w:tab/>
        <w:t>n°</w:t>
      </w:r>
      <w:r>
        <w:rPr>
          <w:spacing w:val="-3"/>
          <w:sz w:val="28"/>
        </w:rPr>
        <w:t xml:space="preserve"> </w:t>
      </w:r>
      <w:r>
        <w:rPr>
          <w:sz w:val="28"/>
        </w:rPr>
        <w:t>2015-904</w:t>
      </w:r>
      <w:r>
        <w:rPr>
          <w:sz w:val="28"/>
        </w:rPr>
        <w:tab/>
        <w:t>du</w:t>
      </w:r>
      <w:r>
        <w:rPr>
          <w:sz w:val="28"/>
        </w:rPr>
        <w:tab/>
        <w:t>23</w:t>
      </w:r>
      <w:r>
        <w:rPr>
          <w:sz w:val="28"/>
        </w:rPr>
        <w:tab/>
        <w:t>juillet</w:t>
      </w:r>
      <w:r>
        <w:rPr>
          <w:sz w:val="28"/>
        </w:rPr>
        <w:tab/>
        <w:t>2015</w:t>
      </w:r>
      <w:r>
        <w:rPr>
          <w:sz w:val="28"/>
        </w:rPr>
        <w:tab/>
      </w:r>
      <w:r>
        <w:rPr>
          <w:spacing w:val="-4"/>
          <w:sz w:val="28"/>
        </w:rPr>
        <w:t xml:space="preserve">portant </w:t>
      </w:r>
      <w:r>
        <w:rPr>
          <w:sz w:val="28"/>
        </w:rPr>
        <w:t>simplification du régime des associations et des fondations</w:t>
      </w:r>
      <w:r>
        <w:rPr>
          <w:spacing w:val="-8"/>
          <w:sz w:val="28"/>
        </w:rPr>
        <w:t xml:space="preserve"> </w:t>
      </w:r>
      <w:r>
        <w:rPr>
          <w:sz w:val="28"/>
        </w:rPr>
        <w:t>;</w:t>
      </w:r>
    </w:p>
    <w:p w:rsidR="00A54C16" w:rsidRDefault="0020637D">
      <w:pPr>
        <w:pStyle w:val="a4"/>
        <w:numPr>
          <w:ilvl w:val="0"/>
          <w:numId w:val="3"/>
        </w:numPr>
        <w:tabs>
          <w:tab w:val="left" w:pos="2029"/>
        </w:tabs>
        <w:spacing w:before="235"/>
        <w:ind w:firstLine="1135"/>
        <w:jc w:val="left"/>
        <w:rPr>
          <w:sz w:val="28"/>
        </w:rPr>
      </w:pPr>
      <w:r>
        <w:rPr>
          <w:sz w:val="28"/>
        </w:rPr>
        <w:t>la loi n° 2016-1547 du 18 novembre 2016 de modernisation de la justice du XXI</w:t>
      </w:r>
      <w:r>
        <w:rPr>
          <w:sz w:val="28"/>
          <w:vertAlign w:val="superscript"/>
        </w:rPr>
        <w:t>e</w:t>
      </w:r>
      <w:r>
        <w:rPr>
          <w:sz w:val="28"/>
        </w:rPr>
        <w:t xml:space="preserve"> siècle</w:t>
      </w:r>
      <w:r>
        <w:rPr>
          <w:spacing w:val="-7"/>
          <w:sz w:val="28"/>
        </w:rPr>
        <w:t xml:space="preserve"> </w:t>
      </w:r>
      <w:r>
        <w:rPr>
          <w:sz w:val="28"/>
        </w:rPr>
        <w:t>;</w:t>
      </w:r>
    </w:p>
    <w:p w:rsidR="00A54C16" w:rsidRDefault="0020637D">
      <w:pPr>
        <w:pStyle w:val="a4"/>
        <w:numPr>
          <w:ilvl w:val="0"/>
          <w:numId w:val="3"/>
        </w:numPr>
        <w:tabs>
          <w:tab w:val="left" w:pos="2030"/>
        </w:tabs>
        <w:spacing w:before="239"/>
        <w:ind w:right="115" w:firstLine="1135"/>
        <w:jc w:val="left"/>
        <w:rPr>
          <w:sz w:val="28"/>
        </w:rPr>
      </w:pPr>
      <w:r>
        <w:rPr>
          <w:sz w:val="28"/>
        </w:rPr>
        <w:t>la décision du Conseil constitutionnel  n° 2015-492  QPC  du 16 octobre 2015</w:t>
      </w:r>
      <w:r>
        <w:rPr>
          <w:spacing w:val="-4"/>
          <w:sz w:val="28"/>
        </w:rPr>
        <w:t xml:space="preserve"> </w:t>
      </w:r>
      <w:r>
        <w:rPr>
          <w:sz w:val="28"/>
        </w:rPr>
        <w:t>;</w:t>
      </w:r>
    </w:p>
    <w:p w:rsidR="00A54C16" w:rsidRDefault="0020637D">
      <w:pPr>
        <w:pStyle w:val="a4"/>
        <w:numPr>
          <w:ilvl w:val="0"/>
          <w:numId w:val="3"/>
        </w:numPr>
        <w:tabs>
          <w:tab w:val="left" w:pos="2030"/>
          <w:tab w:val="left" w:pos="2715"/>
          <w:tab w:val="left" w:pos="4508"/>
          <w:tab w:val="left" w:pos="5166"/>
          <w:tab w:val="left" w:pos="7275"/>
          <w:tab w:val="left" w:pos="8989"/>
        </w:tabs>
        <w:spacing w:before="239" w:line="242" w:lineRule="auto"/>
        <w:ind w:right="114" w:firstLine="1135"/>
        <w:jc w:val="left"/>
        <w:rPr>
          <w:sz w:val="28"/>
        </w:rPr>
      </w:pPr>
      <w:r>
        <w:rPr>
          <w:sz w:val="28"/>
        </w:rPr>
        <w:t>les</w:t>
      </w:r>
      <w:r>
        <w:rPr>
          <w:sz w:val="28"/>
        </w:rPr>
        <w:tab/>
        <w:t>observations</w:t>
      </w:r>
      <w:r>
        <w:rPr>
          <w:sz w:val="28"/>
        </w:rPr>
        <w:tab/>
        <w:t>du</w:t>
      </w:r>
      <w:r>
        <w:rPr>
          <w:sz w:val="28"/>
        </w:rPr>
        <w:tab/>
        <w:t>Gouvern</w:t>
      </w:r>
      <w:r>
        <w:rPr>
          <w:sz w:val="28"/>
        </w:rPr>
        <w:t>ement,</w:t>
      </w:r>
      <w:r>
        <w:rPr>
          <w:sz w:val="28"/>
        </w:rPr>
        <w:tab/>
        <w:t>enregistrées</w:t>
      </w:r>
      <w:r>
        <w:rPr>
          <w:sz w:val="28"/>
        </w:rPr>
        <w:tab/>
      </w:r>
      <w:r>
        <w:rPr>
          <w:spacing w:val="-10"/>
          <w:sz w:val="28"/>
        </w:rPr>
        <w:t xml:space="preserve">le </w:t>
      </w:r>
      <w:r>
        <w:rPr>
          <w:sz w:val="28"/>
        </w:rPr>
        <w:t>17 janvier 2017</w:t>
      </w:r>
      <w:r>
        <w:rPr>
          <w:spacing w:val="-4"/>
          <w:sz w:val="28"/>
        </w:rPr>
        <w:t xml:space="preserve"> </w:t>
      </w:r>
      <w:r>
        <w:rPr>
          <w:sz w:val="28"/>
        </w:rPr>
        <w:t>;</w:t>
      </w:r>
    </w:p>
    <w:p w:rsidR="00A54C16" w:rsidRDefault="0020637D">
      <w:pPr>
        <w:pStyle w:val="a3"/>
        <w:spacing w:before="236"/>
        <w:ind w:left="1817"/>
      </w:pPr>
      <w:r>
        <w:rPr>
          <w:u w:val="single"/>
        </w:rPr>
        <w:t>Et après avoir entendu le rapporteur</w:t>
      </w:r>
      <w:r>
        <w:t xml:space="preserve"> ;</w:t>
      </w:r>
    </w:p>
    <w:p w:rsidR="00A54C16" w:rsidRDefault="0020637D">
      <w:pPr>
        <w:pStyle w:val="a3"/>
        <w:spacing w:before="239"/>
        <w:ind w:left="682" w:firstLine="1135"/>
      </w:pPr>
      <w:r>
        <w:t>LE CONSEIL CONSTITUTIONNEL S’EST FONDÉ SUR CE QUI SUIT :</w:t>
      </w:r>
    </w:p>
    <w:p w:rsidR="00A54C16" w:rsidRDefault="00A54C16">
      <w:pPr>
        <w:pStyle w:val="a3"/>
        <w:rPr>
          <w:sz w:val="30"/>
        </w:rPr>
      </w:pPr>
    </w:p>
    <w:p w:rsidR="00A54C16" w:rsidRDefault="00A54C16">
      <w:pPr>
        <w:pStyle w:val="a3"/>
        <w:rPr>
          <w:sz w:val="30"/>
        </w:rPr>
      </w:pPr>
    </w:p>
    <w:p w:rsidR="00A54C16" w:rsidRDefault="00A54C16">
      <w:pPr>
        <w:pStyle w:val="a3"/>
        <w:spacing w:before="1"/>
        <w:rPr>
          <w:sz w:val="26"/>
        </w:rPr>
      </w:pPr>
    </w:p>
    <w:p w:rsidR="00A54C16" w:rsidRDefault="0020637D">
      <w:pPr>
        <w:pStyle w:val="a4"/>
        <w:numPr>
          <w:ilvl w:val="0"/>
          <w:numId w:val="1"/>
        </w:numPr>
        <w:tabs>
          <w:tab w:val="left" w:pos="2240"/>
        </w:tabs>
        <w:spacing w:before="1"/>
        <w:ind w:firstLine="852"/>
        <w:jc w:val="both"/>
        <w:rPr>
          <w:sz w:val="28"/>
        </w:rPr>
      </w:pPr>
      <w:r>
        <w:rPr>
          <w:sz w:val="28"/>
        </w:rPr>
        <w:t xml:space="preserve">Les </w:t>
      </w:r>
      <w:r>
        <w:rPr>
          <w:color w:val="2B1212"/>
          <w:sz w:val="28"/>
        </w:rPr>
        <w:t>sénateurs et les députés requérants défèrent au Conseil constitutionnel la loi relative à l’égalité et à la citoyenneté. Ils contestent son article 39, certaines dispositions de son  article 98  et  ses articles 100  et 217. Les sénateurs requérants critiq</w:t>
      </w:r>
      <w:r>
        <w:rPr>
          <w:color w:val="2B1212"/>
          <w:sz w:val="28"/>
        </w:rPr>
        <w:t>uent également la procédure d’adoption de cette loi, ses articles 33 et 45, certaines dispositions de son article 52, ses articles 55, 58, 59, 60 et 64, certaines dispositions de ses articles 67 et 78, ses articles 80 et 91, certaines dispositions de ses a</w:t>
      </w:r>
      <w:r>
        <w:rPr>
          <w:color w:val="2B1212"/>
          <w:sz w:val="28"/>
        </w:rPr>
        <w:t>rticles 102, 104, 117, 121 et 122, ses articles 128 et 129, certaines dispositions de ses articles 149, 152, 162, 170 et 171, ses articles 174, 176, 177, 179, 186, 187, 190, 191 et 192, certaines dispositions de son article 204, ses articles 207, 222 et 22</w:t>
      </w:r>
      <w:r>
        <w:rPr>
          <w:color w:val="2B1212"/>
          <w:sz w:val="28"/>
        </w:rPr>
        <w:t>3. Les députés requérants critiquent aussi certaines dispositions de ses articles 67, 70, 97 et</w:t>
      </w:r>
      <w:r>
        <w:rPr>
          <w:color w:val="2B1212"/>
          <w:spacing w:val="-13"/>
          <w:sz w:val="28"/>
        </w:rPr>
        <w:t xml:space="preserve"> </w:t>
      </w:r>
      <w:r>
        <w:rPr>
          <w:sz w:val="28"/>
        </w:rPr>
        <w:t>99.</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jc w:val="left"/>
        <w:rPr>
          <w:sz w:val="28"/>
        </w:rPr>
      </w:pPr>
      <w:r>
        <w:rPr>
          <w:sz w:val="28"/>
          <w:u w:val="single"/>
        </w:rPr>
        <w:t>Sur la procédure d’adoption de la loi</w:t>
      </w:r>
      <w:r>
        <w:rPr>
          <w:spacing w:val="-7"/>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 xml:space="preserve">Les sénateurs requérants critiquent la procédure par laquelle l’article 28 </w:t>
      </w:r>
      <w:r>
        <w:rPr>
          <w:i/>
          <w:sz w:val="28"/>
        </w:rPr>
        <w:t xml:space="preserve">quater </w:t>
      </w:r>
      <w:r>
        <w:rPr>
          <w:sz w:val="28"/>
        </w:rPr>
        <w:t>A a été supprimé en nouvelle lecture à l’Assemblée nationale, alors qu’il avait été adopté conforme par les deux assemblées en première</w:t>
      </w:r>
      <w:r>
        <w:rPr>
          <w:spacing w:val="-1"/>
          <w:sz w:val="28"/>
        </w:rPr>
        <w:t xml:space="preserve"> </w:t>
      </w:r>
      <w:r>
        <w:rPr>
          <w:sz w:val="28"/>
        </w:rPr>
        <w:t>lecture.</w:t>
      </w:r>
    </w:p>
    <w:p w:rsidR="00A54C16" w:rsidRDefault="00A54C16">
      <w:pPr>
        <w:pStyle w:val="a3"/>
        <w:spacing w:before="4"/>
        <w:rPr>
          <w:sz w:val="31"/>
        </w:rPr>
      </w:pPr>
    </w:p>
    <w:p w:rsidR="00A54C16" w:rsidRDefault="0020637D">
      <w:pPr>
        <w:pStyle w:val="a4"/>
        <w:numPr>
          <w:ilvl w:val="0"/>
          <w:numId w:val="1"/>
        </w:numPr>
        <w:tabs>
          <w:tab w:val="left" w:pos="2241"/>
        </w:tabs>
        <w:ind w:left="682" w:firstLine="851"/>
        <w:jc w:val="both"/>
        <w:rPr>
          <w:sz w:val="28"/>
        </w:rPr>
      </w:pPr>
      <w:r>
        <w:rPr>
          <w:sz w:val="28"/>
        </w:rPr>
        <w:t>Il ressort de l’économie de l’article 45 de la Constitution, notamment de la première phrase de son premier al</w:t>
      </w:r>
      <w:r>
        <w:rPr>
          <w:sz w:val="28"/>
        </w:rPr>
        <w:t>inéa aux termes de laquelle : « Tout projet ou proposition de loi est examiné successivement dans</w:t>
      </w:r>
      <w:r>
        <w:rPr>
          <w:spacing w:val="47"/>
          <w:sz w:val="28"/>
        </w:rPr>
        <w:t xml:space="preserve"> </w:t>
      </w:r>
      <w:r>
        <w:rPr>
          <w:sz w:val="28"/>
        </w:rPr>
        <w:t>les</w:t>
      </w:r>
      <w:r>
        <w:rPr>
          <w:spacing w:val="48"/>
          <w:sz w:val="28"/>
        </w:rPr>
        <w:t xml:space="preserve"> </w:t>
      </w:r>
      <w:r>
        <w:rPr>
          <w:sz w:val="28"/>
        </w:rPr>
        <w:t>deux</w:t>
      </w:r>
      <w:r>
        <w:rPr>
          <w:spacing w:val="51"/>
          <w:sz w:val="28"/>
        </w:rPr>
        <w:t xml:space="preserve"> </w:t>
      </w:r>
      <w:r>
        <w:rPr>
          <w:sz w:val="28"/>
        </w:rPr>
        <w:t>assemblées</w:t>
      </w:r>
      <w:r>
        <w:rPr>
          <w:spacing w:val="47"/>
          <w:sz w:val="28"/>
        </w:rPr>
        <w:t xml:space="preserve"> </w:t>
      </w:r>
      <w:r>
        <w:rPr>
          <w:sz w:val="28"/>
        </w:rPr>
        <w:t>du</w:t>
      </w:r>
      <w:r>
        <w:rPr>
          <w:spacing w:val="51"/>
          <w:sz w:val="28"/>
        </w:rPr>
        <w:t xml:space="preserve"> </w:t>
      </w:r>
      <w:r>
        <w:rPr>
          <w:sz w:val="28"/>
        </w:rPr>
        <w:t>Parlement</w:t>
      </w:r>
      <w:r>
        <w:rPr>
          <w:spacing w:val="51"/>
          <w:sz w:val="28"/>
        </w:rPr>
        <w:t xml:space="preserve"> </w:t>
      </w:r>
      <w:r>
        <w:rPr>
          <w:sz w:val="28"/>
        </w:rPr>
        <w:t>en</w:t>
      </w:r>
      <w:r>
        <w:rPr>
          <w:spacing w:val="47"/>
          <w:sz w:val="28"/>
        </w:rPr>
        <w:t xml:space="preserve"> </w:t>
      </w:r>
      <w:r>
        <w:rPr>
          <w:sz w:val="28"/>
        </w:rPr>
        <w:t>vue</w:t>
      </w:r>
      <w:r>
        <w:rPr>
          <w:spacing w:val="47"/>
          <w:sz w:val="28"/>
        </w:rPr>
        <w:t xml:space="preserve"> </w:t>
      </w:r>
      <w:r>
        <w:rPr>
          <w:sz w:val="28"/>
        </w:rPr>
        <w:t>de</w:t>
      </w:r>
      <w:r>
        <w:rPr>
          <w:spacing w:val="47"/>
          <w:sz w:val="28"/>
        </w:rPr>
        <w:t xml:space="preserve"> </w:t>
      </w:r>
      <w:r>
        <w:rPr>
          <w:sz w:val="28"/>
        </w:rPr>
        <w:t>l’adoption</w:t>
      </w:r>
      <w:r>
        <w:rPr>
          <w:spacing w:val="47"/>
          <w:sz w:val="28"/>
        </w:rPr>
        <w:t xml:space="preserve"> </w:t>
      </w:r>
      <w:r>
        <w:rPr>
          <w:sz w:val="28"/>
        </w:rPr>
        <w:t>d’un</w:t>
      </w:r>
      <w:r>
        <w:rPr>
          <w:spacing w:val="48"/>
          <w:sz w:val="28"/>
        </w:rPr>
        <w:t xml:space="preserve"> </w:t>
      </w:r>
      <w:r>
        <w:rPr>
          <w:sz w:val="28"/>
        </w:rPr>
        <w:t>texte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3"/>
        <w:jc w:val="both"/>
      </w:pPr>
      <w:r>
        <w:lastRenderedPageBreak/>
        <w:t>identique », que les adjonctions ou modifications qui peuvent être  apporté</w:t>
      </w:r>
      <w:r>
        <w:t>es après la première lecture par les membres du Parlement et par le Gouvernement doivent être en relation directe avec une disposition restant en discussion. Toutefois, ne sont pas soumis à cette dernière obligation les amendements destinés à assurer le re</w:t>
      </w:r>
      <w:r>
        <w:t>spect de la Constitution, à opérer une coordination avec des textes en cours d’examen ou à corriger une erreur matérielle.</w:t>
      </w:r>
    </w:p>
    <w:p w:rsidR="00A54C16" w:rsidRDefault="00A54C16">
      <w:pPr>
        <w:pStyle w:val="a3"/>
        <w:spacing w:before="5"/>
        <w:rPr>
          <w:sz w:val="31"/>
        </w:rPr>
      </w:pPr>
    </w:p>
    <w:p w:rsidR="00A54C16" w:rsidRDefault="0020637D">
      <w:pPr>
        <w:pStyle w:val="a4"/>
        <w:numPr>
          <w:ilvl w:val="0"/>
          <w:numId w:val="1"/>
        </w:numPr>
        <w:tabs>
          <w:tab w:val="left" w:pos="2240"/>
        </w:tabs>
        <w:ind w:left="682" w:right="115" w:firstLine="852"/>
        <w:jc w:val="both"/>
        <w:rPr>
          <w:sz w:val="28"/>
        </w:rPr>
      </w:pPr>
      <w:r>
        <w:rPr>
          <w:sz w:val="28"/>
        </w:rPr>
        <w:t>Aux termes de l’article 6 de la Déclaration de 1789 : « La loi est l’expression de la volonté générale... ». Aux termes du premier a</w:t>
      </w:r>
      <w:r>
        <w:rPr>
          <w:sz w:val="28"/>
        </w:rPr>
        <w:t>linéa  de l’article 3 de la Constitution : « La souveraineté nationale appartient au peuple qui l’exerce par ses représentants... ». Ces dispositions imposent le respect des exigences de clarté et de sincérité des débats</w:t>
      </w:r>
      <w:r>
        <w:rPr>
          <w:spacing w:val="-19"/>
          <w:sz w:val="28"/>
        </w:rPr>
        <w:t xml:space="preserve"> </w:t>
      </w:r>
      <w:r>
        <w:rPr>
          <w:sz w:val="28"/>
        </w:rPr>
        <w:t>parlementaires.</w:t>
      </w:r>
    </w:p>
    <w:p w:rsidR="00A54C16" w:rsidRDefault="00A54C16">
      <w:pPr>
        <w:pStyle w:val="a3"/>
        <w:spacing w:before="1"/>
        <w:rPr>
          <w:sz w:val="31"/>
        </w:rPr>
      </w:pPr>
    </w:p>
    <w:p w:rsidR="00A54C16" w:rsidRDefault="0020637D">
      <w:pPr>
        <w:pStyle w:val="a4"/>
        <w:numPr>
          <w:ilvl w:val="0"/>
          <w:numId w:val="1"/>
        </w:numPr>
        <w:tabs>
          <w:tab w:val="left" w:pos="2240"/>
        </w:tabs>
        <w:ind w:left="682" w:right="114" w:firstLine="851"/>
        <w:jc w:val="both"/>
        <w:rPr>
          <w:sz w:val="28"/>
        </w:rPr>
      </w:pPr>
      <w:r>
        <w:rPr>
          <w:sz w:val="28"/>
        </w:rPr>
        <w:t xml:space="preserve">Le Conseil constitutionnel ne tient pas des articles 61 et 62 de la Constitution le pouvoir de rétablir un article irrégulièrement supprimé au cours des débats parlementaires. Il lui revient, en revanche, de s’assurer  que l’irrégularité constatée n’a pas </w:t>
      </w:r>
      <w:r>
        <w:rPr>
          <w:sz w:val="28"/>
        </w:rPr>
        <w:t>rendu la procédure législative contraire à la</w:t>
      </w:r>
      <w:r>
        <w:rPr>
          <w:spacing w:val="-3"/>
          <w:sz w:val="28"/>
        </w:rPr>
        <w:t xml:space="preserve"> </w:t>
      </w:r>
      <w:r>
        <w:rPr>
          <w:sz w:val="28"/>
        </w:rPr>
        <w:t>Constitution.</w:t>
      </w:r>
    </w:p>
    <w:p w:rsidR="00A54C16" w:rsidRDefault="00A54C16">
      <w:pPr>
        <w:pStyle w:val="a3"/>
        <w:spacing w:before="4"/>
        <w:rPr>
          <w:sz w:val="31"/>
        </w:rPr>
      </w:pPr>
    </w:p>
    <w:p w:rsidR="00A54C16" w:rsidRDefault="0020637D">
      <w:pPr>
        <w:pStyle w:val="a4"/>
        <w:numPr>
          <w:ilvl w:val="0"/>
          <w:numId w:val="1"/>
        </w:numPr>
        <w:tabs>
          <w:tab w:val="left" w:pos="2240"/>
        </w:tabs>
        <w:ind w:left="682" w:firstLine="851"/>
        <w:jc w:val="both"/>
        <w:rPr>
          <w:sz w:val="28"/>
        </w:rPr>
      </w:pPr>
      <w:r>
        <w:rPr>
          <w:sz w:val="28"/>
        </w:rPr>
        <w:t xml:space="preserve">L’article 28 </w:t>
      </w:r>
      <w:r>
        <w:rPr>
          <w:i/>
          <w:sz w:val="28"/>
        </w:rPr>
        <w:t xml:space="preserve">quater </w:t>
      </w:r>
      <w:r>
        <w:rPr>
          <w:sz w:val="28"/>
        </w:rPr>
        <w:t xml:space="preserve">A du projet de loi à l’origine de la </w:t>
      </w:r>
      <w:r>
        <w:rPr>
          <w:spacing w:val="-2"/>
          <w:sz w:val="28"/>
        </w:rPr>
        <w:t xml:space="preserve">loi </w:t>
      </w:r>
      <w:r>
        <w:rPr>
          <w:sz w:val="28"/>
        </w:rPr>
        <w:t>déférée soumettait l’abattement de taxe foncière sur les propriétés bâties, applicable à certains logements sociaux dans les quartiers</w:t>
      </w:r>
      <w:r>
        <w:rPr>
          <w:sz w:val="28"/>
        </w:rPr>
        <w:t xml:space="preserve"> prioritaires, à la conclusion préalable d’une convention, annexée au contrat de ville et passée entre le bailleur social, l’État et la commune ou l’établissement public de coopération intercommunale. Introduit en première lecture à l’Assemblée nationale, </w:t>
      </w:r>
      <w:r>
        <w:rPr>
          <w:sz w:val="28"/>
        </w:rPr>
        <w:t>il avait été adopté conforme par le Sénat lors de cette même lecture. Bien qu’il ne fît plus partie, à ce stade, des dispositions encore en discussion, la commission spéciale de l’Assemblée nationale l’a modifié par amendement, en nouvelle lecture, au moti</w:t>
      </w:r>
      <w:r>
        <w:rPr>
          <w:sz w:val="28"/>
        </w:rPr>
        <w:t>f d’assurer le respect de la Constitution. À l’initiative du Gouvernement, l’Assemblée nationale a ensuite adopté en séance publique un amendement supprimant cet article. Le Sénat ayant adopté une question préalable en nouvelle lecture, le texte définitive</w:t>
      </w:r>
      <w:r>
        <w:rPr>
          <w:sz w:val="28"/>
        </w:rPr>
        <w:t xml:space="preserve">ment adopté par l’Assemblée nationale ne comporte plus cet article 28 </w:t>
      </w:r>
      <w:r>
        <w:rPr>
          <w:i/>
          <w:sz w:val="28"/>
        </w:rPr>
        <w:t>quater</w:t>
      </w:r>
      <w:r>
        <w:rPr>
          <w:i/>
          <w:spacing w:val="-1"/>
          <w:sz w:val="28"/>
        </w:rPr>
        <w:t xml:space="preserve"> </w:t>
      </w:r>
      <w:r>
        <w:rPr>
          <w:sz w:val="28"/>
        </w:rPr>
        <w:t>A.</w:t>
      </w:r>
    </w:p>
    <w:p w:rsidR="00A54C16" w:rsidRDefault="00A54C16">
      <w:pPr>
        <w:pStyle w:val="a3"/>
        <w:spacing w:before="1"/>
        <w:rPr>
          <w:sz w:val="31"/>
        </w:rPr>
      </w:pPr>
    </w:p>
    <w:p w:rsidR="00A54C16" w:rsidRDefault="0020637D">
      <w:pPr>
        <w:pStyle w:val="a4"/>
        <w:numPr>
          <w:ilvl w:val="0"/>
          <w:numId w:val="1"/>
        </w:numPr>
        <w:tabs>
          <w:tab w:val="left" w:pos="2242"/>
        </w:tabs>
        <w:spacing w:before="1"/>
        <w:ind w:left="683" w:right="112" w:firstLine="851"/>
        <w:jc w:val="both"/>
        <w:rPr>
          <w:sz w:val="28"/>
        </w:rPr>
      </w:pPr>
      <w:r>
        <w:rPr>
          <w:sz w:val="28"/>
        </w:rPr>
        <w:t>L’amendement adopté, en nouvelle lecture, lors de l’examen du texte par la commission spéciale, visait à remédier à l’inconstitutionnalité que pouvait présenter le caractère r</w:t>
      </w:r>
      <w:r>
        <w:rPr>
          <w:sz w:val="28"/>
        </w:rPr>
        <w:t>étroactif du dispositif adopté conforme par les deux chambres. Il était donc recevable en vertu de l’article 45 de la Constitution. En revanche, il résulte des travaux parlementaires que l’amendement de suppression déposé par le Gouvernement,</w:t>
      </w:r>
      <w:r>
        <w:rPr>
          <w:spacing w:val="19"/>
          <w:sz w:val="28"/>
        </w:rPr>
        <w:t xml:space="preserve"> </w:t>
      </w:r>
      <w:r>
        <w:rPr>
          <w:sz w:val="28"/>
        </w:rPr>
        <w:t>lors</w:t>
      </w:r>
      <w:r>
        <w:rPr>
          <w:spacing w:val="18"/>
          <w:sz w:val="28"/>
        </w:rPr>
        <w:t xml:space="preserve"> </w:t>
      </w:r>
      <w:r>
        <w:rPr>
          <w:sz w:val="28"/>
        </w:rPr>
        <w:t>de</w:t>
      </w:r>
      <w:r>
        <w:rPr>
          <w:spacing w:val="17"/>
          <w:sz w:val="28"/>
        </w:rPr>
        <w:t xml:space="preserve"> </w:t>
      </w:r>
      <w:r>
        <w:rPr>
          <w:sz w:val="28"/>
        </w:rPr>
        <w:t>la</w:t>
      </w:r>
      <w:r>
        <w:rPr>
          <w:spacing w:val="17"/>
          <w:sz w:val="28"/>
        </w:rPr>
        <w:t xml:space="preserve"> </w:t>
      </w:r>
      <w:r>
        <w:rPr>
          <w:sz w:val="28"/>
        </w:rPr>
        <w:t>séance</w:t>
      </w:r>
      <w:r>
        <w:rPr>
          <w:spacing w:val="17"/>
          <w:sz w:val="28"/>
        </w:rPr>
        <w:t xml:space="preserve"> </w:t>
      </w:r>
      <w:r>
        <w:rPr>
          <w:sz w:val="28"/>
        </w:rPr>
        <w:t>publique,</w:t>
      </w:r>
      <w:r>
        <w:rPr>
          <w:spacing w:val="19"/>
          <w:sz w:val="28"/>
        </w:rPr>
        <w:t xml:space="preserve"> </w:t>
      </w:r>
      <w:r>
        <w:rPr>
          <w:sz w:val="28"/>
        </w:rPr>
        <w:t>ne</w:t>
      </w:r>
      <w:r>
        <w:rPr>
          <w:spacing w:val="17"/>
          <w:sz w:val="28"/>
        </w:rPr>
        <w:t xml:space="preserve"> </w:t>
      </w:r>
      <w:r>
        <w:rPr>
          <w:sz w:val="28"/>
        </w:rPr>
        <w:t>visait</w:t>
      </w:r>
      <w:r>
        <w:rPr>
          <w:spacing w:val="21"/>
          <w:sz w:val="28"/>
        </w:rPr>
        <w:t xml:space="preserve"> </w:t>
      </w:r>
      <w:r>
        <w:rPr>
          <w:sz w:val="28"/>
        </w:rPr>
        <w:t>ni</w:t>
      </w:r>
      <w:r>
        <w:rPr>
          <w:spacing w:val="21"/>
          <w:sz w:val="28"/>
        </w:rPr>
        <w:t xml:space="preserve"> </w:t>
      </w:r>
      <w:r>
        <w:rPr>
          <w:sz w:val="28"/>
        </w:rPr>
        <w:t>à</w:t>
      </w:r>
      <w:r>
        <w:rPr>
          <w:spacing w:val="19"/>
          <w:sz w:val="28"/>
        </w:rPr>
        <w:t xml:space="preserve"> </w:t>
      </w:r>
      <w:r>
        <w:rPr>
          <w:sz w:val="28"/>
        </w:rPr>
        <w:t>assurer</w:t>
      </w:r>
      <w:r>
        <w:rPr>
          <w:spacing w:val="20"/>
          <w:sz w:val="28"/>
        </w:rPr>
        <w:t xml:space="preserve"> </w:t>
      </w:r>
      <w:r>
        <w:rPr>
          <w:sz w:val="28"/>
        </w:rPr>
        <w:t>le</w:t>
      </w:r>
      <w:r>
        <w:rPr>
          <w:spacing w:val="18"/>
          <w:sz w:val="28"/>
        </w:rPr>
        <w:t xml:space="preserve"> </w:t>
      </w:r>
      <w:r>
        <w:rPr>
          <w:sz w:val="28"/>
        </w:rPr>
        <w:t>respect</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3"/>
        <w:jc w:val="both"/>
      </w:pPr>
      <w:r>
        <w:lastRenderedPageBreak/>
        <w:t>de la Constitution, ni à corriger une erreur matérielle, ni à opérer une coordination avec des textes en cours d’examen à la date à laquelle il a été adopté. À ce stade de la procédure, i</w:t>
      </w:r>
      <w:r>
        <w:t>l n’était donc pas recevable.</w:t>
      </w:r>
    </w:p>
    <w:p w:rsidR="00A54C16" w:rsidRDefault="00A54C16">
      <w:pPr>
        <w:pStyle w:val="a3"/>
        <w:spacing w:before="4"/>
        <w:rPr>
          <w:sz w:val="31"/>
        </w:rPr>
      </w:pPr>
    </w:p>
    <w:p w:rsidR="00A54C16" w:rsidRDefault="0020637D">
      <w:pPr>
        <w:pStyle w:val="a4"/>
        <w:numPr>
          <w:ilvl w:val="0"/>
          <w:numId w:val="1"/>
        </w:numPr>
        <w:tabs>
          <w:tab w:val="left" w:pos="2240"/>
        </w:tabs>
        <w:ind w:left="682" w:right="115" w:firstLine="852"/>
        <w:jc w:val="both"/>
        <w:rPr>
          <w:sz w:val="28"/>
        </w:rPr>
      </w:pPr>
      <w:r>
        <w:rPr>
          <w:sz w:val="28"/>
        </w:rPr>
        <w:t xml:space="preserve">En l’espèce, l’article 28 </w:t>
      </w:r>
      <w:r>
        <w:rPr>
          <w:i/>
          <w:sz w:val="28"/>
        </w:rPr>
        <w:t xml:space="preserve">quater </w:t>
      </w:r>
      <w:r>
        <w:rPr>
          <w:sz w:val="28"/>
        </w:rPr>
        <w:t>A a donc été supprimé selon une procédure contraire à la Constitution. Toutefois, pour regrettable qu’elle soit, cette suppression n’a pas eu pour effet de porter une atteinte inconstitutionne</w:t>
      </w:r>
      <w:r>
        <w:rPr>
          <w:sz w:val="28"/>
        </w:rPr>
        <w:t>lle aux exigences de clarté et de sincérité des débats parlementaires. Le grief tiré de la méconnaissance de ces exigences doit donc être</w:t>
      </w:r>
      <w:r>
        <w:rPr>
          <w:spacing w:val="-2"/>
          <w:sz w:val="28"/>
        </w:rPr>
        <w:t xml:space="preserve"> </w:t>
      </w:r>
      <w:r>
        <w:rPr>
          <w:sz w:val="28"/>
        </w:rPr>
        <w:t>rejeté.</w:t>
      </w:r>
    </w:p>
    <w:p w:rsidR="00A54C16" w:rsidRDefault="00A54C16">
      <w:pPr>
        <w:pStyle w:val="a3"/>
        <w:spacing w:before="9"/>
        <w:rPr>
          <w:sz w:val="41"/>
        </w:rPr>
      </w:pPr>
    </w:p>
    <w:p w:rsidR="00A54C16" w:rsidRDefault="0020637D">
      <w:pPr>
        <w:pStyle w:val="a4"/>
        <w:numPr>
          <w:ilvl w:val="0"/>
          <w:numId w:val="2"/>
        </w:numPr>
        <w:tabs>
          <w:tab w:val="left" w:pos="971"/>
        </w:tabs>
        <w:ind w:left="970" w:right="0"/>
        <w:rPr>
          <w:sz w:val="28"/>
        </w:rPr>
      </w:pPr>
      <w:r>
        <w:rPr>
          <w:sz w:val="28"/>
          <w:u w:val="single"/>
        </w:rPr>
        <w:t>Sur l’article 39</w:t>
      </w:r>
      <w:r>
        <w:rPr>
          <w:spacing w:val="-7"/>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firstLine="852"/>
        <w:jc w:val="both"/>
        <w:rPr>
          <w:sz w:val="28"/>
        </w:rPr>
      </w:pPr>
      <w:r>
        <w:rPr>
          <w:sz w:val="28"/>
        </w:rPr>
        <w:t xml:space="preserve">L’article 39 de la loi déférée habilite le Gouvernement à prendre par ordonnance les mesures nécessaires afin de remplacer, dans le code de l’éducation, les régimes de déclaration d’ouverture préalable des établissements privés d’enseignement scolaire par </w:t>
      </w:r>
      <w:r>
        <w:rPr>
          <w:sz w:val="28"/>
        </w:rPr>
        <w:t>un régime d’autorisation, de préciser les motifs de refus d’ouverture, de fixer les dispositions régissant l’exercice des fonctions de direction et d’enseignement dans ces établissements et de renforcer la liberté de l’enseignement dont ces derniers bénéfi</w:t>
      </w:r>
      <w:r>
        <w:rPr>
          <w:sz w:val="28"/>
        </w:rPr>
        <w:t>cient, une fois</w:t>
      </w:r>
      <w:r>
        <w:rPr>
          <w:spacing w:val="-5"/>
          <w:sz w:val="28"/>
        </w:rPr>
        <w:t xml:space="preserve"> </w:t>
      </w:r>
      <w:r>
        <w:rPr>
          <w:sz w:val="28"/>
        </w:rPr>
        <w:t>ouverts.</w:t>
      </w:r>
    </w:p>
    <w:p w:rsidR="00A54C16" w:rsidRDefault="00A54C16">
      <w:pPr>
        <w:pStyle w:val="a3"/>
        <w:spacing w:before="2"/>
        <w:rPr>
          <w:sz w:val="31"/>
        </w:rPr>
      </w:pPr>
    </w:p>
    <w:p w:rsidR="00A54C16" w:rsidRDefault="0020637D">
      <w:pPr>
        <w:pStyle w:val="a4"/>
        <w:numPr>
          <w:ilvl w:val="0"/>
          <w:numId w:val="1"/>
        </w:numPr>
        <w:tabs>
          <w:tab w:val="left" w:pos="2240"/>
        </w:tabs>
        <w:spacing w:before="1"/>
        <w:ind w:right="114" w:firstLine="852"/>
        <w:jc w:val="both"/>
        <w:rPr>
          <w:sz w:val="28"/>
        </w:rPr>
      </w:pPr>
      <w:r>
        <w:rPr>
          <w:sz w:val="28"/>
        </w:rPr>
        <w:t>Les sénateurs et les députés requérants estiment que la substitution d’un régime d’autorisation à un régime déclaratif pour l’ouverture d’établissements privés d’enseignement scolaire porte une atteinte disproportionnée à la liber</w:t>
      </w:r>
      <w:r>
        <w:rPr>
          <w:sz w:val="28"/>
        </w:rPr>
        <w:t>té de l’enseignement et à la liberté d’association. Selon les sénateurs requérants, ces dispositions porteraient aussi atteinte à la liberté de conscience et à la liberté</w:t>
      </w:r>
      <w:r>
        <w:rPr>
          <w:spacing w:val="-20"/>
          <w:sz w:val="28"/>
        </w:rPr>
        <w:t xml:space="preserve"> </w:t>
      </w:r>
      <w:r>
        <w:rPr>
          <w:sz w:val="28"/>
        </w:rPr>
        <w:t>d’entreprendre.</w:t>
      </w:r>
    </w:p>
    <w:p w:rsidR="00A54C16" w:rsidRDefault="00A54C16">
      <w:pPr>
        <w:pStyle w:val="a3"/>
        <w:spacing w:before="3"/>
        <w:rPr>
          <w:sz w:val="31"/>
        </w:rPr>
      </w:pPr>
    </w:p>
    <w:p w:rsidR="00A54C16" w:rsidRDefault="0020637D">
      <w:pPr>
        <w:pStyle w:val="a4"/>
        <w:numPr>
          <w:ilvl w:val="0"/>
          <w:numId w:val="1"/>
        </w:numPr>
        <w:tabs>
          <w:tab w:val="left" w:pos="2240"/>
        </w:tabs>
        <w:ind w:left="682" w:right="114" w:firstLine="851"/>
        <w:jc w:val="both"/>
        <w:rPr>
          <w:sz w:val="28"/>
        </w:rPr>
      </w:pPr>
      <w:r>
        <w:rPr>
          <w:sz w:val="28"/>
        </w:rPr>
        <w:t>La liberté de l’enseignement constitue l’un des principes fondamenta</w:t>
      </w:r>
      <w:r>
        <w:rPr>
          <w:sz w:val="28"/>
        </w:rPr>
        <w:t>ux reconnus par les lois de la République, réaffirmés par le Préambule de la Constitution de 1946 auquel se réfère le Préambule de la Constitution de</w:t>
      </w:r>
      <w:r>
        <w:rPr>
          <w:spacing w:val="-2"/>
          <w:sz w:val="28"/>
        </w:rPr>
        <w:t xml:space="preserve"> </w:t>
      </w:r>
      <w:r>
        <w:rPr>
          <w:sz w:val="28"/>
        </w:rPr>
        <w:t>1958.</w:t>
      </w:r>
    </w:p>
    <w:p w:rsidR="00A54C16" w:rsidRDefault="00A54C16">
      <w:pPr>
        <w:pStyle w:val="a3"/>
        <w:spacing w:before="4"/>
        <w:rPr>
          <w:sz w:val="31"/>
        </w:rPr>
      </w:pPr>
    </w:p>
    <w:p w:rsidR="00A54C16" w:rsidRDefault="0020637D">
      <w:pPr>
        <w:pStyle w:val="a4"/>
        <w:numPr>
          <w:ilvl w:val="0"/>
          <w:numId w:val="1"/>
        </w:numPr>
        <w:tabs>
          <w:tab w:val="left" w:pos="2241"/>
        </w:tabs>
        <w:ind w:left="682" w:firstLine="851"/>
        <w:jc w:val="both"/>
        <w:rPr>
          <w:sz w:val="28"/>
        </w:rPr>
      </w:pPr>
      <w:r>
        <w:rPr>
          <w:sz w:val="28"/>
        </w:rPr>
        <w:t>Aux termes du premier alinéa de l’article 38 de la Constitution : « Le Gouvernement peut, pour l’ex</w:t>
      </w:r>
      <w:r>
        <w:rPr>
          <w:sz w:val="28"/>
        </w:rPr>
        <w:t xml:space="preserve">écution de </w:t>
      </w:r>
      <w:r>
        <w:rPr>
          <w:spacing w:val="-2"/>
          <w:sz w:val="28"/>
        </w:rPr>
        <w:t xml:space="preserve">son </w:t>
      </w:r>
      <w:r>
        <w:rPr>
          <w:sz w:val="28"/>
        </w:rPr>
        <w:t>programme, demander au Parlement l’autorisation de prendre par ordonnances, pendant un délai limité, des mesures qui sont normalement du domaine de la loi ». Cette disposition fait obligation au Gouvernement d’indiquer avec précision au Parl</w:t>
      </w:r>
      <w:r>
        <w:rPr>
          <w:sz w:val="28"/>
        </w:rPr>
        <w:t>ement, afin de justifier la demande qu’il présente, la finalité des mesures qu’il se propose de prendre par voie d’ordonnances ainsi que leur domaine</w:t>
      </w:r>
      <w:r>
        <w:rPr>
          <w:spacing w:val="-6"/>
          <w:sz w:val="28"/>
        </w:rPr>
        <w:t xml:space="preserve"> </w:t>
      </w:r>
      <w:r>
        <w:rPr>
          <w:sz w:val="28"/>
        </w:rPr>
        <w:t>d’intervention.</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firstLine="851"/>
        <w:jc w:val="both"/>
        <w:rPr>
          <w:sz w:val="28"/>
        </w:rPr>
      </w:pPr>
      <w:r>
        <w:rPr>
          <w:sz w:val="28"/>
        </w:rPr>
        <w:lastRenderedPageBreak/>
        <w:t>En habilitant le Gouvernement à remplacer les régimes déclaratifs par un</w:t>
      </w:r>
      <w:r>
        <w:rPr>
          <w:sz w:val="28"/>
        </w:rPr>
        <w:t xml:space="preserve"> régime d’autorisation d’ouverture d’un établissement privé d’enseignement scolaire, le législateur a précisément défini le domaine d’intervention des mesures qu’il autorise le Gouvernement à prendre par ordonnance. En revanche, eu égard à l’atteinte susce</w:t>
      </w:r>
      <w:r>
        <w:rPr>
          <w:sz w:val="28"/>
        </w:rPr>
        <w:t>ptible d’être portée à la liberté de l’enseignement par la mise en place  d’un régime d’autorisation administrative, en confiant au Gouvernement, sans autre indication, le soin de préciser « les motifs pour lesquels les autorités compétentes peuvent refuse</w:t>
      </w:r>
      <w:r>
        <w:rPr>
          <w:sz w:val="28"/>
        </w:rPr>
        <w:t>r d’autoriser l’ouverture » de tels établissements, le législateur a insuffisamment précisé les finalités des mesures susceptibles d’être prises par voie</w:t>
      </w:r>
      <w:r>
        <w:rPr>
          <w:spacing w:val="-9"/>
          <w:sz w:val="28"/>
        </w:rPr>
        <w:t xml:space="preserve"> </w:t>
      </w:r>
      <w:r>
        <w:rPr>
          <w:sz w:val="28"/>
        </w:rPr>
        <w:t>d’ordonnance.</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Par suite, cette habilitation méconnaît les exigences qui résultent de l’article 38 de la Constitution. Sans qu’il soit besoin d’examiner les griefs des requérants, l’article 39 de la loi déférée est donc contraire à la</w:t>
      </w:r>
      <w:r>
        <w:rPr>
          <w:spacing w:val="-6"/>
          <w:sz w:val="28"/>
        </w:rPr>
        <w:t xml:space="preserve"> </w:t>
      </w:r>
      <w:r>
        <w:rPr>
          <w:sz w:val="28"/>
        </w:rPr>
        <w:t>Constitution.</w:t>
      </w:r>
    </w:p>
    <w:p w:rsidR="00A54C16" w:rsidRDefault="00A54C16">
      <w:pPr>
        <w:pStyle w:val="a3"/>
        <w:spacing w:before="10"/>
        <w:rPr>
          <w:sz w:val="41"/>
        </w:rPr>
      </w:pPr>
    </w:p>
    <w:p w:rsidR="00A54C16" w:rsidRDefault="0020637D">
      <w:pPr>
        <w:pStyle w:val="a4"/>
        <w:numPr>
          <w:ilvl w:val="0"/>
          <w:numId w:val="2"/>
        </w:numPr>
        <w:tabs>
          <w:tab w:val="left" w:pos="971"/>
        </w:tabs>
        <w:ind w:left="970" w:right="0"/>
        <w:jc w:val="left"/>
        <w:rPr>
          <w:sz w:val="28"/>
        </w:rPr>
      </w:pPr>
      <w:r>
        <w:rPr>
          <w:sz w:val="28"/>
          <w:u w:val="single"/>
        </w:rPr>
        <w:t>Sur certaines dispositions de l’article 70</w:t>
      </w:r>
      <w:r>
        <w:rPr>
          <w:spacing w:val="-12"/>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Les neuvième à onzième alinéas du f du 2° du paragraphe I de l’article 70 de la loi déférée modifient l’article L. 441-1 du code de la construction et de l’habitation pour obliger les bailleurs sociaux à consac</w:t>
      </w:r>
      <w:r>
        <w:rPr>
          <w:sz w:val="28"/>
        </w:rPr>
        <w:t>rer au moins 25 % des attributions annuelles de logements situés en dehors des quartiers prioritaires de la politique de la ville au quartile des demandeurs les plus modestes ou aux personnes relogées dans le cadre d’une opération de renouvellement urbain.</w:t>
      </w:r>
      <w:r>
        <w:rPr>
          <w:sz w:val="28"/>
        </w:rPr>
        <w:t xml:space="preserve"> Le douzième alinéa permet d’adapter ce taux compte tenu de la situation locale. Le treizième alinéa prévoit que la convention intercommunale d’attribution fixe la répartition entre les bailleurs sociaux des attributions à réaliser, sous réserve que le tau</w:t>
      </w:r>
      <w:r>
        <w:rPr>
          <w:sz w:val="28"/>
        </w:rPr>
        <w:t>x applicable au territoire concerné soit globalement respecté. Le quinzième alinéa prévoit qu’en cas de non-respect de l’objectif d’attribution fixé à chaque bailleur social, le représentant de l’État dans le département  procède à l’attribution aux public</w:t>
      </w:r>
      <w:r>
        <w:rPr>
          <w:sz w:val="28"/>
        </w:rPr>
        <w:t>s concernés d’un nombre de logements équivalent au nombre de logements restant à attribuer sur les différents contingents.</w:t>
      </w:r>
    </w:p>
    <w:p w:rsidR="00A54C16" w:rsidRDefault="00A54C16">
      <w:pPr>
        <w:pStyle w:val="a3"/>
        <w:spacing w:before="2"/>
        <w:rPr>
          <w:sz w:val="31"/>
        </w:rPr>
      </w:pPr>
    </w:p>
    <w:p w:rsidR="00A54C16" w:rsidRDefault="0020637D">
      <w:pPr>
        <w:pStyle w:val="a4"/>
        <w:numPr>
          <w:ilvl w:val="0"/>
          <w:numId w:val="1"/>
        </w:numPr>
        <w:tabs>
          <w:tab w:val="left" w:pos="2241"/>
        </w:tabs>
        <w:ind w:left="682" w:right="114" w:firstLine="851"/>
        <w:jc w:val="both"/>
        <w:rPr>
          <w:sz w:val="28"/>
        </w:rPr>
      </w:pPr>
      <w:r>
        <w:rPr>
          <w:sz w:val="28"/>
        </w:rPr>
        <w:t>Les députés requérants soutiennent que ces dispositions, en ce qu’elles fixent un objectif de 25 % d’attributions de logements socia</w:t>
      </w:r>
      <w:r>
        <w:rPr>
          <w:sz w:val="28"/>
        </w:rPr>
        <w:t>ux à certaines personnes et prévoient la substitution automatique du préfet si cet objectif n’est pas atteint, portent une atteinte disproportionnée au principe de libre administration des collectivités</w:t>
      </w:r>
      <w:r>
        <w:rPr>
          <w:spacing w:val="-4"/>
          <w:sz w:val="28"/>
        </w:rPr>
        <w:t xml:space="preserve"> </w:t>
      </w:r>
      <w:r>
        <w:rPr>
          <w:sz w:val="28"/>
        </w:rPr>
        <w:t>territoriales.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firstLine="851"/>
        <w:jc w:val="both"/>
        <w:rPr>
          <w:sz w:val="28"/>
        </w:rPr>
      </w:pPr>
      <w:r>
        <w:rPr>
          <w:sz w:val="28"/>
        </w:rPr>
        <w:lastRenderedPageBreak/>
        <w:t>L’article 34 de la C</w:t>
      </w:r>
      <w:r>
        <w:rPr>
          <w:sz w:val="28"/>
        </w:rPr>
        <w:t xml:space="preserve">onstitution réserve au législateur la détermination des principes fondamentaux de la libre administration des collectivités territoriales, de leurs compétences et de leurs ressources. En vertu du troisième alinéa de l’article 72 de la Constitution, « dans </w:t>
      </w:r>
      <w:r>
        <w:rPr>
          <w:sz w:val="28"/>
        </w:rPr>
        <w:t>les conditions prévues par la loi, ces collectivités s’administrent librement par des conseils élus</w:t>
      </w:r>
      <w:r>
        <w:rPr>
          <w:spacing w:val="-3"/>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0"/>
        </w:tabs>
        <w:ind w:left="2239" w:right="0"/>
        <w:jc w:val="both"/>
        <w:rPr>
          <w:sz w:val="28"/>
        </w:rPr>
      </w:pPr>
      <w:r>
        <w:rPr>
          <w:sz w:val="28"/>
        </w:rPr>
        <w:t>Selon le dernier alinéa de l’article 72 de la Constitution</w:t>
      </w:r>
      <w:r>
        <w:rPr>
          <w:spacing w:val="-50"/>
          <w:sz w:val="28"/>
        </w:rPr>
        <w:t xml:space="preserve"> </w:t>
      </w:r>
      <w:r>
        <w:rPr>
          <w:sz w:val="28"/>
        </w:rPr>
        <w:t>:</w:t>
      </w:r>
    </w:p>
    <w:p w:rsidR="00A54C16" w:rsidRDefault="0020637D">
      <w:pPr>
        <w:pStyle w:val="a3"/>
        <w:spacing w:before="2"/>
        <w:ind w:left="682" w:right="114"/>
        <w:jc w:val="both"/>
      </w:pPr>
      <w:r>
        <w:t>« Dans les collectivités territoriales de la République, le représentant de l’État, représe</w:t>
      </w:r>
      <w:r>
        <w:t>ntant de chacun des membres du Gouvernement, a la charge des intérêts nationaux, du contrôle administratif et du respect des lois ». Il appartient donc au législateur de prévoir l’intervention du représentant de l’État pour remédier, sous le contrôle du ju</w:t>
      </w:r>
      <w:r>
        <w:t>ge, aux difficultés résultant de l’absence de décision de la part des autorités décentralisées compétentes en se substituant à ces dernières lorsque cette absence de décision risque de compromettre le fonctionnement des services publics et l’application de</w:t>
      </w:r>
      <w:r>
        <w:t>s lois. Les conditions posées pour l’exercice par le représentant de l’État de ses pouvoirs de substitution doivent être définies quant à leur objet et à leur portée.</w:t>
      </w:r>
    </w:p>
    <w:p w:rsidR="00A54C16" w:rsidRDefault="00A54C16">
      <w:pPr>
        <w:pStyle w:val="a3"/>
        <w:spacing w:before="1"/>
        <w:rPr>
          <w:sz w:val="31"/>
        </w:rPr>
      </w:pPr>
    </w:p>
    <w:p w:rsidR="00A54C16" w:rsidRDefault="0020637D">
      <w:pPr>
        <w:pStyle w:val="a4"/>
        <w:numPr>
          <w:ilvl w:val="0"/>
          <w:numId w:val="1"/>
        </w:numPr>
        <w:tabs>
          <w:tab w:val="left" w:pos="2241"/>
        </w:tabs>
        <w:ind w:left="682" w:right="112" w:firstLine="852"/>
        <w:jc w:val="both"/>
        <w:rPr>
          <w:sz w:val="28"/>
        </w:rPr>
      </w:pPr>
      <w:r>
        <w:rPr>
          <w:sz w:val="28"/>
        </w:rPr>
        <w:t>En adoptant les dispositions contestées, le législateur a entendu favoriser l’égalité des chances et la mixité sociale. Il a prévu à cette fin que les demandeurs de logements sociaux ayant les plus faibles revenus et les personnes relogées dans le cadre d’</w:t>
      </w:r>
      <w:r>
        <w:rPr>
          <w:sz w:val="28"/>
        </w:rPr>
        <w:t>une opération de renouvellement urbain puissent bénéficier de logements sociaux en dehors des quartiers prioritaires de la ville. Ainsi, les dispositions contestées répondent à des fins d’intérêt</w:t>
      </w:r>
      <w:r>
        <w:rPr>
          <w:spacing w:val="-3"/>
          <w:sz w:val="28"/>
        </w:rPr>
        <w:t xml:space="preserve"> </w:t>
      </w:r>
      <w:r>
        <w:rPr>
          <w:sz w:val="28"/>
        </w:rPr>
        <w:t>général.</w:t>
      </w:r>
    </w:p>
    <w:p w:rsidR="00A54C16" w:rsidRDefault="00A54C16">
      <w:pPr>
        <w:pStyle w:val="a3"/>
        <w:spacing w:before="3"/>
        <w:rPr>
          <w:sz w:val="31"/>
        </w:rPr>
      </w:pPr>
    </w:p>
    <w:p w:rsidR="00A54C16" w:rsidRDefault="0020637D">
      <w:pPr>
        <w:pStyle w:val="a4"/>
        <w:numPr>
          <w:ilvl w:val="0"/>
          <w:numId w:val="1"/>
        </w:numPr>
        <w:tabs>
          <w:tab w:val="left" w:pos="2241"/>
        </w:tabs>
        <w:ind w:left="683" w:right="112" w:firstLine="851"/>
        <w:jc w:val="both"/>
        <w:rPr>
          <w:sz w:val="28"/>
        </w:rPr>
      </w:pPr>
      <w:r>
        <w:rPr>
          <w:sz w:val="28"/>
        </w:rPr>
        <w:t>D’une part, le taux d’attributions annuelles reten</w:t>
      </w:r>
      <w:r>
        <w:rPr>
          <w:sz w:val="28"/>
        </w:rPr>
        <w:t>u par le législateur, qui ne s’élève qu’à 25 %, n’est pas en lui-même excessif. D’autre part, ce taux peut être adapté compte tenu de la situation locale. Enfin, le pouvoir de substitution du représentant de l’État ne s’exerce que sur des logements restant</w:t>
      </w:r>
      <w:r>
        <w:rPr>
          <w:sz w:val="28"/>
        </w:rPr>
        <w:t xml:space="preserve"> à attribuer sur les différents contingents. Ce pouvoir a pour objet d’assurer le respect de l’objectif d’attributions annuelles. L’objet et la portée de la compétence conférée au représentant de l’État est ainsi définie en adéquation avec l’objectif pours</w:t>
      </w:r>
      <w:r>
        <w:rPr>
          <w:sz w:val="28"/>
        </w:rPr>
        <w:t>uivi. Par conséquent, les dispositions contestées n’entravent pas la libre administration des collectivités</w:t>
      </w:r>
      <w:r>
        <w:rPr>
          <w:spacing w:val="-2"/>
          <w:sz w:val="28"/>
        </w:rPr>
        <w:t xml:space="preserve"> </w:t>
      </w:r>
      <w:r>
        <w:rPr>
          <w:sz w:val="28"/>
        </w:rPr>
        <w:t>territoriales.</w:t>
      </w:r>
    </w:p>
    <w:p w:rsidR="00A54C16" w:rsidRDefault="00A54C16">
      <w:pPr>
        <w:pStyle w:val="a3"/>
        <w:spacing w:before="4"/>
        <w:rPr>
          <w:sz w:val="31"/>
        </w:rPr>
      </w:pPr>
    </w:p>
    <w:p w:rsidR="00A54C16" w:rsidRDefault="0020637D">
      <w:pPr>
        <w:pStyle w:val="a4"/>
        <w:numPr>
          <w:ilvl w:val="0"/>
          <w:numId w:val="1"/>
        </w:numPr>
        <w:tabs>
          <w:tab w:val="left" w:pos="2242"/>
        </w:tabs>
        <w:ind w:left="683" w:firstLine="851"/>
        <w:jc w:val="both"/>
        <w:rPr>
          <w:sz w:val="28"/>
        </w:rPr>
      </w:pPr>
      <w:r>
        <w:rPr>
          <w:color w:val="2B1212"/>
          <w:sz w:val="28"/>
        </w:rPr>
        <w:t>Les neuvième à quinzième alinéas du f du 2° du paragraphe I de l’article 70 de la loi déférée, qui ne méconnaissent aucune autre exi</w:t>
      </w:r>
      <w:r>
        <w:rPr>
          <w:color w:val="2B1212"/>
          <w:sz w:val="28"/>
        </w:rPr>
        <w:t>gence constitutionnelle, sont conformes à la</w:t>
      </w:r>
      <w:r>
        <w:rPr>
          <w:color w:val="2B1212"/>
          <w:spacing w:val="-10"/>
          <w:sz w:val="28"/>
        </w:rPr>
        <w:t xml:space="preserve"> </w:t>
      </w:r>
      <w:r>
        <w:rPr>
          <w:color w:val="2B1212"/>
          <w:sz w:val="28"/>
        </w:rPr>
        <w:t>Constitution.</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2"/>
        </w:numPr>
        <w:tabs>
          <w:tab w:val="left" w:pos="971"/>
        </w:tabs>
        <w:spacing w:before="79"/>
        <w:ind w:left="970" w:right="0"/>
        <w:jc w:val="left"/>
        <w:rPr>
          <w:sz w:val="28"/>
        </w:rPr>
      </w:pPr>
      <w:r>
        <w:rPr>
          <w:sz w:val="28"/>
          <w:u w:val="single"/>
        </w:rPr>
        <w:lastRenderedPageBreak/>
        <w:t>Sur certaines dispositions de l’article 78</w:t>
      </w:r>
      <w:r>
        <w:rPr>
          <w:spacing w:val="-12"/>
          <w:sz w:val="28"/>
        </w:rPr>
        <w:t xml:space="preserve"> </w:t>
      </w:r>
      <w:r>
        <w:rPr>
          <w:sz w:val="28"/>
        </w:rPr>
        <w:t>:</w:t>
      </w:r>
    </w:p>
    <w:p w:rsidR="00A54C16" w:rsidRDefault="00A54C16">
      <w:pPr>
        <w:pStyle w:val="a3"/>
        <w:spacing w:before="5"/>
        <w:rPr>
          <w:sz w:val="31"/>
        </w:rPr>
      </w:pPr>
    </w:p>
    <w:p w:rsidR="00A54C16" w:rsidRDefault="0020637D">
      <w:pPr>
        <w:pStyle w:val="a4"/>
        <w:numPr>
          <w:ilvl w:val="0"/>
          <w:numId w:val="1"/>
        </w:numPr>
        <w:tabs>
          <w:tab w:val="left" w:pos="2241"/>
        </w:tabs>
        <w:ind w:left="682" w:firstLine="851"/>
        <w:jc w:val="both"/>
        <w:rPr>
          <w:sz w:val="28"/>
        </w:rPr>
      </w:pPr>
      <w:r>
        <w:rPr>
          <w:sz w:val="28"/>
        </w:rPr>
        <w:t>L’article L. 411-10 du code de la construction et de l’habitation prévoit que le ministère chargé du logement tient un répertoire des</w:t>
      </w:r>
      <w:r>
        <w:rPr>
          <w:sz w:val="28"/>
        </w:rPr>
        <w:t xml:space="preserve"> logements locatifs sociaux et de leurs habitants, pour permettre l’élaboration et la mise en œuvre des politiques publiques de</w:t>
      </w:r>
      <w:r>
        <w:rPr>
          <w:spacing w:val="-17"/>
          <w:sz w:val="28"/>
        </w:rPr>
        <w:t xml:space="preserve"> </w:t>
      </w:r>
      <w:r>
        <w:rPr>
          <w:sz w:val="28"/>
        </w:rPr>
        <w:t>l’habitat.</w:t>
      </w:r>
    </w:p>
    <w:p w:rsidR="00A54C16" w:rsidRDefault="00A54C16">
      <w:pPr>
        <w:pStyle w:val="a3"/>
        <w:spacing w:before="2"/>
        <w:rPr>
          <w:sz w:val="31"/>
        </w:rPr>
      </w:pPr>
    </w:p>
    <w:p w:rsidR="00A54C16" w:rsidRDefault="0020637D">
      <w:pPr>
        <w:pStyle w:val="a4"/>
        <w:numPr>
          <w:ilvl w:val="0"/>
          <w:numId w:val="1"/>
        </w:numPr>
        <w:tabs>
          <w:tab w:val="left" w:pos="2241"/>
        </w:tabs>
        <w:ind w:left="682" w:firstLine="852"/>
        <w:jc w:val="both"/>
        <w:rPr>
          <w:sz w:val="28"/>
        </w:rPr>
      </w:pPr>
      <w:r>
        <w:rPr>
          <w:sz w:val="28"/>
        </w:rPr>
        <w:t>Le c du 1° du paragraphe I de l’article 78 de la loi déférée complète cet article L. 411-10. Il prévoit que, pour al</w:t>
      </w:r>
      <w:r>
        <w:rPr>
          <w:sz w:val="28"/>
        </w:rPr>
        <w:t>imenter ce répertoire, les bailleurs sociaux transmettent au ministère chargé du logement le numéro d’immatriculation au répertoire national d’identification des personnes physiques de chaque occupant majeur d’un logement locatif social.</w:t>
      </w:r>
    </w:p>
    <w:p w:rsidR="00A54C16" w:rsidRDefault="00A54C16">
      <w:pPr>
        <w:pStyle w:val="a3"/>
        <w:spacing w:before="3"/>
        <w:rPr>
          <w:sz w:val="31"/>
        </w:rPr>
      </w:pPr>
    </w:p>
    <w:p w:rsidR="00A54C16" w:rsidRDefault="0020637D">
      <w:pPr>
        <w:pStyle w:val="a4"/>
        <w:numPr>
          <w:ilvl w:val="0"/>
          <w:numId w:val="1"/>
        </w:numPr>
        <w:tabs>
          <w:tab w:val="left" w:pos="2241"/>
        </w:tabs>
        <w:ind w:left="682" w:right="115" w:firstLine="851"/>
        <w:jc w:val="both"/>
        <w:rPr>
          <w:sz w:val="28"/>
        </w:rPr>
      </w:pPr>
      <w:r>
        <w:rPr>
          <w:sz w:val="28"/>
        </w:rPr>
        <w:t>Les sénateurs requérants soutiennent que ces dispositions portent une atteinte injustifiée au droit au respect de la vie privée des occupants de logements</w:t>
      </w:r>
      <w:r>
        <w:rPr>
          <w:spacing w:val="-6"/>
          <w:sz w:val="28"/>
        </w:rPr>
        <w:t xml:space="preserve"> </w:t>
      </w:r>
      <w:r>
        <w:rPr>
          <w:sz w:val="28"/>
        </w:rPr>
        <w:t>sociaux.</w:t>
      </w:r>
    </w:p>
    <w:p w:rsidR="00A54C16" w:rsidRDefault="00A54C16">
      <w:pPr>
        <w:pStyle w:val="a3"/>
        <w:spacing w:before="5"/>
        <w:rPr>
          <w:sz w:val="31"/>
        </w:rPr>
      </w:pPr>
    </w:p>
    <w:p w:rsidR="00A54C16" w:rsidRDefault="0020637D">
      <w:pPr>
        <w:pStyle w:val="a4"/>
        <w:numPr>
          <w:ilvl w:val="0"/>
          <w:numId w:val="1"/>
        </w:numPr>
        <w:tabs>
          <w:tab w:val="left" w:pos="2241"/>
        </w:tabs>
        <w:ind w:left="682" w:firstLine="851"/>
        <w:jc w:val="both"/>
        <w:rPr>
          <w:sz w:val="28"/>
        </w:rPr>
      </w:pPr>
      <w:r>
        <w:rPr>
          <w:color w:val="2B1212"/>
          <w:sz w:val="28"/>
        </w:rPr>
        <w:t xml:space="preserve">La liberté proclamée par l’article 2 de la Déclaration des droits de l’homme et du citoyen </w:t>
      </w:r>
      <w:r>
        <w:rPr>
          <w:color w:val="2B1212"/>
          <w:sz w:val="28"/>
        </w:rPr>
        <w:t xml:space="preserve">de 1789 implique le droit au respect de la vie privée. Par suite, la collecte, l’enregistrement, la conservation, la consultation et la communication de données à caractère personnel doivent être justifiés par un motif d’intérêt général et mis en œuvre de </w:t>
      </w:r>
      <w:r>
        <w:rPr>
          <w:color w:val="2B1212"/>
          <w:sz w:val="28"/>
        </w:rPr>
        <w:t>manière adéquate et proportionnée à cet</w:t>
      </w:r>
      <w:r>
        <w:rPr>
          <w:color w:val="2B1212"/>
          <w:spacing w:val="-6"/>
          <w:sz w:val="28"/>
        </w:rPr>
        <w:t xml:space="preserve"> </w:t>
      </w:r>
      <w:r>
        <w:rPr>
          <w:color w:val="2B1212"/>
          <w:sz w:val="28"/>
        </w:rPr>
        <w:t>objectif.</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En adoptant les dispositions contestées, le législateur a entendu que le ministère chargé du logement soit en mesure d’établir une cartographie de l’occupation socio-économique du parc de logements sociaux, afin d’améliorer la mise en œuvre de la politique</w:t>
      </w:r>
      <w:r>
        <w:rPr>
          <w:sz w:val="28"/>
        </w:rPr>
        <w:t xml:space="preserve"> en matière d’attribution de ces logements. Il a ainsi poursuivi un objectif d’intérêt général.</w:t>
      </w:r>
    </w:p>
    <w:p w:rsidR="00A54C16" w:rsidRDefault="00A54C16">
      <w:pPr>
        <w:pStyle w:val="a3"/>
        <w:spacing w:before="1"/>
        <w:rPr>
          <w:sz w:val="31"/>
        </w:rPr>
      </w:pPr>
    </w:p>
    <w:p w:rsidR="00A54C16" w:rsidRDefault="0020637D">
      <w:pPr>
        <w:pStyle w:val="a4"/>
        <w:numPr>
          <w:ilvl w:val="0"/>
          <w:numId w:val="1"/>
        </w:numPr>
        <w:tabs>
          <w:tab w:val="left" w:pos="2241"/>
        </w:tabs>
        <w:ind w:left="682" w:right="112" w:firstLine="851"/>
        <w:jc w:val="both"/>
        <w:rPr>
          <w:sz w:val="28"/>
        </w:rPr>
      </w:pPr>
      <w:r>
        <w:rPr>
          <w:sz w:val="28"/>
        </w:rPr>
        <w:t>Si les collectivités territoriales et certains de leurs établissements publics peuvent obtenir du représentant de l’État dans la région les informations relati</w:t>
      </w:r>
      <w:r>
        <w:rPr>
          <w:sz w:val="28"/>
        </w:rPr>
        <w:t>ves aux logements situés sur leur territoire contenues</w:t>
      </w:r>
      <w:r>
        <w:rPr>
          <w:spacing w:val="25"/>
          <w:sz w:val="28"/>
        </w:rPr>
        <w:t xml:space="preserve"> </w:t>
      </w:r>
      <w:r>
        <w:rPr>
          <w:sz w:val="28"/>
        </w:rPr>
        <w:t>dans</w:t>
      </w:r>
      <w:r>
        <w:rPr>
          <w:spacing w:val="28"/>
          <w:sz w:val="28"/>
        </w:rPr>
        <w:t xml:space="preserve"> </w:t>
      </w:r>
      <w:r>
        <w:rPr>
          <w:sz w:val="28"/>
        </w:rPr>
        <w:t>le</w:t>
      </w:r>
      <w:r>
        <w:rPr>
          <w:spacing w:val="26"/>
          <w:sz w:val="28"/>
        </w:rPr>
        <w:t xml:space="preserve"> </w:t>
      </w:r>
      <w:r>
        <w:rPr>
          <w:sz w:val="28"/>
        </w:rPr>
        <w:t>répertoire,</w:t>
      </w:r>
      <w:r>
        <w:rPr>
          <w:spacing w:val="27"/>
          <w:sz w:val="28"/>
        </w:rPr>
        <w:t xml:space="preserve"> </w:t>
      </w:r>
      <w:r>
        <w:rPr>
          <w:sz w:val="28"/>
        </w:rPr>
        <w:t>c’est</w:t>
      </w:r>
      <w:r>
        <w:rPr>
          <w:spacing w:val="27"/>
          <w:sz w:val="28"/>
        </w:rPr>
        <w:t xml:space="preserve"> </w:t>
      </w:r>
      <w:r>
        <w:rPr>
          <w:sz w:val="28"/>
        </w:rPr>
        <w:t>en</w:t>
      </w:r>
      <w:r>
        <w:rPr>
          <w:spacing w:val="27"/>
          <w:sz w:val="28"/>
        </w:rPr>
        <w:t xml:space="preserve"> </w:t>
      </w:r>
      <w:r>
        <w:rPr>
          <w:sz w:val="28"/>
        </w:rPr>
        <w:t>vertu</w:t>
      </w:r>
      <w:r>
        <w:rPr>
          <w:spacing w:val="26"/>
          <w:sz w:val="28"/>
        </w:rPr>
        <w:t xml:space="preserve"> </w:t>
      </w:r>
      <w:r>
        <w:rPr>
          <w:sz w:val="28"/>
        </w:rPr>
        <w:t>du</w:t>
      </w:r>
      <w:r>
        <w:rPr>
          <w:spacing w:val="28"/>
          <w:sz w:val="28"/>
        </w:rPr>
        <w:t xml:space="preserve"> </w:t>
      </w:r>
      <w:r>
        <w:rPr>
          <w:sz w:val="28"/>
        </w:rPr>
        <w:t>huitième</w:t>
      </w:r>
      <w:r>
        <w:rPr>
          <w:spacing w:val="26"/>
          <w:sz w:val="28"/>
        </w:rPr>
        <w:t xml:space="preserve"> </w:t>
      </w:r>
      <w:r>
        <w:rPr>
          <w:sz w:val="28"/>
        </w:rPr>
        <w:t>alinéa</w:t>
      </w:r>
      <w:r>
        <w:rPr>
          <w:spacing w:val="25"/>
          <w:sz w:val="28"/>
        </w:rPr>
        <w:t xml:space="preserve"> </w:t>
      </w:r>
      <w:r>
        <w:rPr>
          <w:sz w:val="28"/>
        </w:rPr>
        <w:t>de</w:t>
      </w:r>
      <w:r>
        <w:rPr>
          <w:spacing w:val="24"/>
          <w:sz w:val="28"/>
        </w:rPr>
        <w:t xml:space="preserve"> </w:t>
      </w:r>
      <w:r>
        <w:rPr>
          <w:sz w:val="28"/>
        </w:rPr>
        <w:t>l’article</w:t>
      </w:r>
    </w:p>
    <w:p w:rsidR="00A54C16" w:rsidRDefault="0020637D">
      <w:pPr>
        <w:pStyle w:val="a3"/>
        <w:spacing w:before="1"/>
        <w:ind w:left="682" w:right="118"/>
        <w:jc w:val="both"/>
      </w:pPr>
      <w:r>
        <w:t>L. 411-10, à la condition que ces informations aient été préalablement rendues anonymes.</w:t>
      </w:r>
    </w:p>
    <w:p w:rsidR="00A54C16" w:rsidRDefault="00A54C16">
      <w:pPr>
        <w:pStyle w:val="a3"/>
        <w:spacing w:before="2"/>
        <w:rPr>
          <w:sz w:val="31"/>
        </w:rPr>
      </w:pPr>
    </w:p>
    <w:p w:rsidR="00A54C16" w:rsidRDefault="0020637D">
      <w:pPr>
        <w:pStyle w:val="a4"/>
        <w:numPr>
          <w:ilvl w:val="0"/>
          <w:numId w:val="1"/>
        </w:numPr>
        <w:tabs>
          <w:tab w:val="left" w:pos="2241"/>
        </w:tabs>
        <w:ind w:left="682" w:right="114" w:firstLine="851"/>
        <w:jc w:val="both"/>
        <w:rPr>
          <w:sz w:val="28"/>
        </w:rPr>
      </w:pPr>
      <w:r>
        <w:rPr>
          <w:sz w:val="28"/>
        </w:rPr>
        <w:t>Par ailleurs, le législateur a prévu au 4° d</w:t>
      </w:r>
      <w:r>
        <w:rPr>
          <w:sz w:val="28"/>
        </w:rPr>
        <w:t>u paragraphe I de l’article 78 que l’exploitation des données du répertoire par le groupement d’intérêt</w:t>
      </w:r>
      <w:r>
        <w:rPr>
          <w:spacing w:val="8"/>
          <w:sz w:val="28"/>
        </w:rPr>
        <w:t xml:space="preserve"> </w:t>
      </w:r>
      <w:r>
        <w:rPr>
          <w:sz w:val="28"/>
        </w:rPr>
        <w:t>public</w:t>
      </w:r>
      <w:r>
        <w:rPr>
          <w:spacing w:val="9"/>
          <w:sz w:val="28"/>
        </w:rPr>
        <w:t xml:space="preserve"> </w:t>
      </w:r>
      <w:r>
        <w:rPr>
          <w:sz w:val="28"/>
        </w:rPr>
        <w:t>mentionné</w:t>
      </w:r>
      <w:r>
        <w:rPr>
          <w:spacing w:val="7"/>
          <w:sz w:val="28"/>
        </w:rPr>
        <w:t xml:space="preserve"> </w:t>
      </w:r>
      <w:r>
        <w:rPr>
          <w:sz w:val="28"/>
        </w:rPr>
        <w:t>à</w:t>
      </w:r>
      <w:r>
        <w:rPr>
          <w:spacing w:val="9"/>
          <w:sz w:val="28"/>
        </w:rPr>
        <w:t xml:space="preserve"> </w:t>
      </w:r>
      <w:r>
        <w:rPr>
          <w:sz w:val="28"/>
        </w:rPr>
        <w:t>l’article</w:t>
      </w:r>
      <w:r>
        <w:rPr>
          <w:spacing w:val="9"/>
          <w:sz w:val="28"/>
        </w:rPr>
        <w:t xml:space="preserve"> </w:t>
      </w:r>
      <w:r>
        <w:rPr>
          <w:sz w:val="28"/>
        </w:rPr>
        <w:t>L.</w:t>
      </w:r>
      <w:r>
        <w:rPr>
          <w:spacing w:val="6"/>
          <w:sz w:val="28"/>
        </w:rPr>
        <w:t xml:space="preserve"> </w:t>
      </w:r>
      <w:r>
        <w:rPr>
          <w:sz w:val="28"/>
        </w:rPr>
        <w:t>441-2-1</w:t>
      </w:r>
      <w:r>
        <w:rPr>
          <w:spacing w:val="8"/>
          <w:sz w:val="28"/>
        </w:rPr>
        <w:t xml:space="preserve"> </w:t>
      </w:r>
      <w:r>
        <w:rPr>
          <w:sz w:val="28"/>
        </w:rPr>
        <w:t>du</w:t>
      </w:r>
      <w:r>
        <w:rPr>
          <w:spacing w:val="10"/>
          <w:sz w:val="28"/>
        </w:rPr>
        <w:t xml:space="preserve"> </w:t>
      </w:r>
      <w:r>
        <w:rPr>
          <w:sz w:val="28"/>
        </w:rPr>
        <w:t>code</w:t>
      </w:r>
      <w:r>
        <w:rPr>
          <w:spacing w:val="9"/>
          <w:sz w:val="28"/>
        </w:rPr>
        <w:t xml:space="preserve"> </w:t>
      </w:r>
      <w:r>
        <w:rPr>
          <w:sz w:val="28"/>
        </w:rPr>
        <w:t>de</w:t>
      </w:r>
      <w:r>
        <w:rPr>
          <w:spacing w:val="9"/>
          <w:sz w:val="28"/>
        </w:rPr>
        <w:t xml:space="preserve"> </w:t>
      </w:r>
      <w:r>
        <w:rPr>
          <w:sz w:val="28"/>
        </w:rPr>
        <w:t>la</w:t>
      </w:r>
      <w:r>
        <w:rPr>
          <w:spacing w:val="9"/>
          <w:sz w:val="28"/>
        </w:rPr>
        <w:t xml:space="preserve"> </w:t>
      </w:r>
      <w:r>
        <w:rPr>
          <w:sz w:val="28"/>
        </w:rPr>
        <w:t>construction</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tabs>
          <w:tab w:val="left" w:pos="1147"/>
          <w:tab w:val="left" w:pos="1675"/>
          <w:tab w:val="left" w:pos="3226"/>
          <w:tab w:val="left" w:pos="3802"/>
          <w:tab w:val="left" w:pos="4917"/>
          <w:tab w:val="left" w:pos="5445"/>
          <w:tab w:val="left" w:pos="6609"/>
          <w:tab w:val="left" w:pos="6996"/>
          <w:tab w:val="left" w:pos="7972"/>
        </w:tabs>
        <w:spacing w:before="79" w:line="242" w:lineRule="auto"/>
        <w:ind w:left="682" w:right="113" w:hanging="1"/>
      </w:pPr>
      <w:r>
        <w:lastRenderedPageBreak/>
        <w:t>et</w:t>
      </w:r>
      <w:r>
        <w:tab/>
        <w:t>de</w:t>
      </w:r>
      <w:r>
        <w:tab/>
        <w:t>l’habitation</w:t>
      </w:r>
      <w:r>
        <w:tab/>
        <w:t>est</w:t>
      </w:r>
      <w:r>
        <w:tab/>
        <w:t>réalisée</w:t>
      </w:r>
      <w:r>
        <w:tab/>
        <w:t>de</w:t>
      </w:r>
      <w:r>
        <w:tab/>
        <w:t>manière</w:t>
      </w:r>
      <w:r>
        <w:tab/>
        <w:t>à</w:t>
      </w:r>
      <w:r>
        <w:tab/>
        <w:t>rendre</w:t>
      </w:r>
      <w:r>
        <w:tab/>
      </w:r>
      <w:r>
        <w:rPr>
          <w:spacing w:val="-3"/>
        </w:rPr>
        <w:t xml:space="preserve">impossible </w:t>
      </w:r>
      <w:r>
        <w:t>l’identification des</w:t>
      </w:r>
      <w:r>
        <w:rPr>
          <w:spacing w:val="-1"/>
        </w:rPr>
        <w:t xml:space="preserve"> </w:t>
      </w:r>
      <w:r>
        <w:t>intéressés.</w:t>
      </w:r>
    </w:p>
    <w:p w:rsidR="00A54C16" w:rsidRDefault="00A54C16">
      <w:pPr>
        <w:pStyle w:val="a3"/>
        <w:spacing w:before="10"/>
        <w:rPr>
          <w:sz w:val="30"/>
        </w:rPr>
      </w:pPr>
    </w:p>
    <w:p w:rsidR="00A54C16" w:rsidRDefault="0020637D">
      <w:pPr>
        <w:pStyle w:val="a4"/>
        <w:numPr>
          <w:ilvl w:val="0"/>
          <w:numId w:val="1"/>
        </w:numPr>
        <w:tabs>
          <w:tab w:val="left" w:pos="2241"/>
        </w:tabs>
        <w:ind w:left="682" w:right="114" w:firstLine="852"/>
        <w:jc w:val="both"/>
        <w:rPr>
          <w:sz w:val="28"/>
        </w:rPr>
      </w:pPr>
      <w:r>
        <w:rPr>
          <w:sz w:val="28"/>
        </w:rPr>
        <w:t xml:space="preserve">Il en résulte que le législateur a retenu des modalités de collecte, </w:t>
      </w:r>
      <w:r>
        <w:rPr>
          <w:color w:val="2B1212"/>
          <w:sz w:val="28"/>
        </w:rPr>
        <w:t xml:space="preserve">d’enregistrement, de conservation, et de communication </w:t>
      </w:r>
      <w:r>
        <w:rPr>
          <w:sz w:val="28"/>
        </w:rPr>
        <w:t>du numéro d’immatriculation au répertoire national d’identification des personnes physiques adéqua</w:t>
      </w:r>
      <w:r>
        <w:rPr>
          <w:sz w:val="28"/>
        </w:rPr>
        <w:t>tes et proportionnées à l’objectif poursuivi. Par conséquent, le grief tiré de la méconnaissance du droit au respect de la vie privée doit être</w:t>
      </w:r>
      <w:r>
        <w:rPr>
          <w:spacing w:val="-5"/>
          <w:sz w:val="28"/>
        </w:rPr>
        <w:t xml:space="preserve"> </w:t>
      </w:r>
      <w:r>
        <w:rPr>
          <w:sz w:val="28"/>
        </w:rPr>
        <w:t>écarté.</w:t>
      </w:r>
    </w:p>
    <w:p w:rsidR="00A54C16" w:rsidRDefault="00A54C16">
      <w:pPr>
        <w:pStyle w:val="a3"/>
        <w:spacing w:before="3"/>
        <w:rPr>
          <w:sz w:val="31"/>
        </w:rPr>
      </w:pPr>
    </w:p>
    <w:p w:rsidR="00A54C16" w:rsidRDefault="0020637D">
      <w:pPr>
        <w:pStyle w:val="a4"/>
        <w:numPr>
          <w:ilvl w:val="0"/>
          <w:numId w:val="1"/>
        </w:numPr>
        <w:tabs>
          <w:tab w:val="left" w:pos="2240"/>
        </w:tabs>
        <w:ind w:left="682" w:firstLine="851"/>
        <w:jc w:val="both"/>
        <w:rPr>
          <w:sz w:val="28"/>
        </w:rPr>
      </w:pPr>
      <w:r>
        <w:rPr>
          <w:color w:val="2B1212"/>
          <w:sz w:val="28"/>
        </w:rPr>
        <w:t>Le c du 1° du paragraphe I de l’article 78 de la loi déférée, qui ne méconnaît aucune autre exigence constitutionnelle, est conforme à la Constitution.</w:t>
      </w:r>
    </w:p>
    <w:p w:rsidR="00A54C16" w:rsidRDefault="00A54C16">
      <w:pPr>
        <w:pStyle w:val="a3"/>
        <w:spacing w:before="8"/>
        <w:rPr>
          <w:sz w:val="41"/>
        </w:rPr>
      </w:pPr>
    </w:p>
    <w:p w:rsidR="00A54C16" w:rsidRDefault="0020637D">
      <w:pPr>
        <w:pStyle w:val="a4"/>
        <w:numPr>
          <w:ilvl w:val="0"/>
          <w:numId w:val="2"/>
        </w:numPr>
        <w:tabs>
          <w:tab w:val="left" w:pos="971"/>
        </w:tabs>
        <w:ind w:left="970" w:right="0"/>
        <w:jc w:val="left"/>
        <w:rPr>
          <w:sz w:val="28"/>
        </w:rPr>
      </w:pPr>
      <w:r>
        <w:rPr>
          <w:sz w:val="28"/>
          <w:u w:val="single"/>
        </w:rPr>
        <w:t>Sur certaines dispositions de l’article 97</w:t>
      </w:r>
      <w:r>
        <w:rPr>
          <w:spacing w:val="-13"/>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 xml:space="preserve">L’article 97 de la loi déférée aménage les conditions de </w:t>
      </w:r>
      <w:r>
        <w:rPr>
          <w:sz w:val="28"/>
        </w:rPr>
        <w:t>mise en œuvre de l’obligation faite à certaines communes de disposer, sur leur territoire, d’un nombre minimal de logements locatifs sociaux. Le 4° de son paragraphe I modifie l’article L. 302-5 du code de la construction et de l’habitation, afin de redéfi</w:t>
      </w:r>
      <w:r>
        <w:rPr>
          <w:sz w:val="28"/>
        </w:rPr>
        <w:t>nir les communes dans lesquelles les logements locatifs sociaux doivent représenter au moins 20 % des résidences principales. Ces communes sont actuellement déterminées en fonction de trois critères prenant en compte la part de bénéficiaires de l’allocatio</w:t>
      </w:r>
      <w:r>
        <w:rPr>
          <w:sz w:val="28"/>
        </w:rPr>
        <w:t>n logement dont le taux d’effort est supérieur à 30 %, le taux de vacance constaté dans le parc locatif social et le nombre de demandes de logements locatifs sociaux par rapport au nombre d’emménagements annuels dans ce même parc. Les b à d du 4° du paragr</w:t>
      </w:r>
      <w:r>
        <w:rPr>
          <w:sz w:val="28"/>
        </w:rPr>
        <w:t>aphe I de l’article 97 de la loi déférée ne retiennent plus que ce dernier critère. Par ailleurs, le c du même 4° supprime l’exemption de l’obligation de compter un nombre minimal de logements locatifs sociaux, dont peuvent bénéficier certaines communes en</w:t>
      </w:r>
      <w:r>
        <w:rPr>
          <w:sz w:val="28"/>
        </w:rPr>
        <w:t xml:space="preserve"> décroissance</w:t>
      </w:r>
      <w:r>
        <w:rPr>
          <w:spacing w:val="-2"/>
          <w:sz w:val="28"/>
        </w:rPr>
        <w:t xml:space="preserve"> </w:t>
      </w:r>
      <w:r>
        <w:rPr>
          <w:sz w:val="28"/>
        </w:rPr>
        <w:t>démographique.</w:t>
      </w:r>
    </w:p>
    <w:p w:rsidR="00A54C16" w:rsidRDefault="00A54C16">
      <w:pPr>
        <w:pStyle w:val="a3"/>
        <w:spacing w:before="4"/>
        <w:rPr>
          <w:sz w:val="31"/>
        </w:rPr>
      </w:pPr>
    </w:p>
    <w:p w:rsidR="00A54C16" w:rsidRDefault="0020637D">
      <w:pPr>
        <w:pStyle w:val="a4"/>
        <w:numPr>
          <w:ilvl w:val="0"/>
          <w:numId w:val="1"/>
        </w:numPr>
        <w:tabs>
          <w:tab w:val="left" w:pos="2241"/>
        </w:tabs>
        <w:ind w:left="683" w:firstLine="851"/>
        <w:jc w:val="both"/>
        <w:rPr>
          <w:sz w:val="28"/>
        </w:rPr>
      </w:pPr>
      <w:r>
        <w:rPr>
          <w:sz w:val="28"/>
        </w:rPr>
        <w:t>Les députés requérants soutiennent que ces dispositions entraîneront, pour les communes nouvellement soumises à l’exigence d’atteindre un taux minimal de logements sociaux, une augmentation de leurs charges, ainsi qu’une réduc</w:t>
      </w:r>
      <w:r>
        <w:rPr>
          <w:sz w:val="28"/>
        </w:rPr>
        <w:t>tion de leurs ressources fiscales liée au prélèvement prévu en cas de non-respect de cette exigence. Il en résulterait une violation du principe de libre administration des collectivités territoriales. En outre, ces communes disposant de moins de temps pou</w:t>
      </w:r>
      <w:r>
        <w:rPr>
          <w:sz w:val="28"/>
        </w:rPr>
        <w:t>r parvenir à l’objectif que celles déjà assujetties à la même</w:t>
      </w:r>
      <w:r>
        <w:rPr>
          <w:spacing w:val="23"/>
          <w:sz w:val="28"/>
        </w:rPr>
        <w:t xml:space="preserve"> </w:t>
      </w:r>
      <w:r>
        <w:rPr>
          <w:sz w:val="28"/>
        </w:rPr>
        <w:t>obligation, les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right="115"/>
        <w:jc w:val="both"/>
      </w:pPr>
      <w:r>
        <w:lastRenderedPageBreak/>
        <w:t>dispositions contestées créeraient une rupture d’égalité entre communes, contraire à l’article 6 de la Déclaration de 1789.</w:t>
      </w:r>
    </w:p>
    <w:p w:rsidR="00A54C16" w:rsidRDefault="00A54C16">
      <w:pPr>
        <w:pStyle w:val="a3"/>
        <w:spacing w:before="10"/>
        <w:rPr>
          <w:sz w:val="30"/>
        </w:rPr>
      </w:pPr>
    </w:p>
    <w:p w:rsidR="00A54C16" w:rsidRDefault="0020637D">
      <w:pPr>
        <w:pStyle w:val="a4"/>
        <w:numPr>
          <w:ilvl w:val="0"/>
          <w:numId w:val="1"/>
        </w:numPr>
        <w:tabs>
          <w:tab w:val="left" w:pos="2240"/>
        </w:tabs>
        <w:ind w:left="682" w:firstLine="851"/>
        <w:jc w:val="both"/>
        <w:rPr>
          <w:sz w:val="28"/>
        </w:rPr>
      </w:pPr>
      <w:r>
        <w:rPr>
          <w:sz w:val="28"/>
        </w:rPr>
        <w:t xml:space="preserve">L’article 34 de la Constitution réserve au législateur la détermination des principes fondamentaux de la libre administration des collectivités territoriales, de leurs compétences et de leurs ressources. Si, </w:t>
      </w:r>
      <w:r>
        <w:rPr>
          <w:spacing w:val="-3"/>
          <w:sz w:val="28"/>
        </w:rPr>
        <w:t xml:space="preserve">en </w:t>
      </w:r>
      <w:r>
        <w:rPr>
          <w:sz w:val="28"/>
        </w:rPr>
        <w:t>vertu des articles 72 et 72-2 de la Constitut</w:t>
      </w:r>
      <w:r>
        <w:rPr>
          <w:sz w:val="28"/>
        </w:rPr>
        <w:t>ion, les collectivités</w:t>
      </w:r>
      <w:r>
        <w:rPr>
          <w:spacing w:val="11"/>
          <w:sz w:val="28"/>
        </w:rPr>
        <w:t xml:space="preserve"> </w:t>
      </w:r>
      <w:r>
        <w:rPr>
          <w:sz w:val="28"/>
        </w:rPr>
        <w:t>territoriales</w:t>
      </w:r>
    </w:p>
    <w:p w:rsidR="00A54C16" w:rsidRDefault="0020637D">
      <w:pPr>
        <w:pStyle w:val="a3"/>
        <w:ind w:left="682" w:right="117"/>
        <w:jc w:val="both"/>
      </w:pPr>
      <w:r>
        <w:t>« s’administrent librement par des conseils élus » et « bénéficient de ressources dont elles peuvent disposer librement », elles le font « dans les conditions prévues par la loi ».</w:t>
      </w:r>
    </w:p>
    <w:p w:rsidR="00A54C16" w:rsidRDefault="00A54C16">
      <w:pPr>
        <w:pStyle w:val="a3"/>
        <w:spacing w:before="2"/>
        <w:rPr>
          <w:sz w:val="31"/>
        </w:rPr>
      </w:pPr>
    </w:p>
    <w:p w:rsidR="00A54C16" w:rsidRDefault="0020637D">
      <w:pPr>
        <w:pStyle w:val="a4"/>
        <w:numPr>
          <w:ilvl w:val="0"/>
          <w:numId w:val="1"/>
        </w:numPr>
        <w:tabs>
          <w:tab w:val="left" w:pos="2241"/>
        </w:tabs>
        <w:spacing w:before="1"/>
        <w:ind w:left="682" w:firstLine="851"/>
        <w:jc w:val="both"/>
        <w:rPr>
          <w:sz w:val="28"/>
        </w:rPr>
      </w:pPr>
      <w:r>
        <w:rPr>
          <w:sz w:val="28"/>
        </w:rPr>
        <w:t>Si le législateur peut, sur le fondem</w:t>
      </w:r>
      <w:r>
        <w:rPr>
          <w:sz w:val="28"/>
        </w:rPr>
        <w:t>ent des articles 34 et 72 de la Constitution, assujettir les collectivités territoriales ou leurs groupements à des obligations et à des charges, c’est à la condition que celles-ci répondent à des exigences constitutionnelles ou concourent à des fins d’int</w:t>
      </w:r>
      <w:r>
        <w:rPr>
          <w:sz w:val="28"/>
        </w:rPr>
        <w:t>érêt général, qu’elles ne méconnaissent pas la compétence propre des collectivités concernées, qu’elles n’entravent pas leur libre administration et qu’elles soient définies de façon suffisamment précise quant à leur objet et à leur</w:t>
      </w:r>
      <w:r>
        <w:rPr>
          <w:spacing w:val="-4"/>
          <w:sz w:val="28"/>
        </w:rPr>
        <w:t xml:space="preserve"> </w:t>
      </w:r>
      <w:r>
        <w:rPr>
          <w:sz w:val="28"/>
        </w:rPr>
        <w:t>portée.</w:t>
      </w:r>
    </w:p>
    <w:p w:rsidR="00A54C16" w:rsidRDefault="00A54C16">
      <w:pPr>
        <w:pStyle w:val="a3"/>
        <w:spacing w:before="2"/>
        <w:rPr>
          <w:sz w:val="31"/>
        </w:rPr>
      </w:pPr>
    </w:p>
    <w:p w:rsidR="00A54C16" w:rsidRDefault="0020637D">
      <w:pPr>
        <w:pStyle w:val="a4"/>
        <w:numPr>
          <w:ilvl w:val="0"/>
          <w:numId w:val="1"/>
        </w:numPr>
        <w:tabs>
          <w:tab w:val="left" w:pos="2241"/>
        </w:tabs>
        <w:spacing w:line="322" w:lineRule="exact"/>
        <w:ind w:left="2240" w:right="0" w:hanging="707"/>
        <w:jc w:val="both"/>
        <w:rPr>
          <w:sz w:val="28"/>
        </w:rPr>
      </w:pPr>
      <w:r>
        <w:rPr>
          <w:sz w:val="28"/>
        </w:rPr>
        <w:t>Aux</w:t>
      </w:r>
      <w:r>
        <w:rPr>
          <w:spacing w:val="45"/>
          <w:sz w:val="28"/>
        </w:rPr>
        <w:t xml:space="preserve"> </w:t>
      </w:r>
      <w:r>
        <w:rPr>
          <w:sz w:val="28"/>
        </w:rPr>
        <w:t>termes</w:t>
      </w:r>
      <w:r>
        <w:rPr>
          <w:spacing w:val="47"/>
          <w:sz w:val="28"/>
        </w:rPr>
        <w:t xml:space="preserve"> </w:t>
      </w:r>
      <w:r>
        <w:rPr>
          <w:sz w:val="28"/>
        </w:rPr>
        <w:t>de</w:t>
      </w:r>
      <w:r>
        <w:rPr>
          <w:spacing w:val="44"/>
          <w:sz w:val="28"/>
        </w:rPr>
        <w:t xml:space="preserve"> </w:t>
      </w:r>
      <w:r>
        <w:rPr>
          <w:sz w:val="28"/>
        </w:rPr>
        <w:t>l’article</w:t>
      </w:r>
      <w:r>
        <w:rPr>
          <w:spacing w:val="44"/>
          <w:sz w:val="28"/>
        </w:rPr>
        <w:t xml:space="preserve"> </w:t>
      </w:r>
      <w:r>
        <w:rPr>
          <w:sz w:val="28"/>
        </w:rPr>
        <w:t>6</w:t>
      </w:r>
      <w:r>
        <w:rPr>
          <w:spacing w:val="45"/>
          <w:sz w:val="28"/>
        </w:rPr>
        <w:t xml:space="preserve"> </w:t>
      </w:r>
      <w:r>
        <w:rPr>
          <w:sz w:val="28"/>
        </w:rPr>
        <w:t>de</w:t>
      </w:r>
      <w:r>
        <w:rPr>
          <w:spacing w:val="44"/>
          <w:sz w:val="28"/>
        </w:rPr>
        <w:t xml:space="preserve"> </w:t>
      </w:r>
      <w:r>
        <w:rPr>
          <w:sz w:val="28"/>
        </w:rPr>
        <w:t>la</w:t>
      </w:r>
      <w:r>
        <w:rPr>
          <w:spacing w:val="46"/>
          <w:sz w:val="28"/>
        </w:rPr>
        <w:t xml:space="preserve"> </w:t>
      </w:r>
      <w:r>
        <w:rPr>
          <w:sz w:val="28"/>
        </w:rPr>
        <w:t>Déclaration</w:t>
      </w:r>
      <w:r>
        <w:rPr>
          <w:spacing w:val="45"/>
          <w:sz w:val="28"/>
        </w:rPr>
        <w:t xml:space="preserve"> </w:t>
      </w:r>
      <w:r>
        <w:rPr>
          <w:sz w:val="28"/>
        </w:rPr>
        <w:t>de</w:t>
      </w:r>
      <w:r>
        <w:rPr>
          <w:spacing w:val="44"/>
          <w:sz w:val="28"/>
        </w:rPr>
        <w:t xml:space="preserve"> </w:t>
      </w:r>
      <w:r>
        <w:rPr>
          <w:sz w:val="28"/>
        </w:rPr>
        <w:t>1789,</w:t>
      </w:r>
      <w:r>
        <w:rPr>
          <w:spacing w:val="44"/>
          <w:sz w:val="28"/>
        </w:rPr>
        <w:t xml:space="preserve"> </w:t>
      </w:r>
      <w:r>
        <w:rPr>
          <w:sz w:val="28"/>
        </w:rPr>
        <w:t>la</w:t>
      </w:r>
      <w:r>
        <w:rPr>
          <w:spacing w:val="44"/>
          <w:sz w:val="28"/>
        </w:rPr>
        <w:t xml:space="preserve"> </w:t>
      </w:r>
      <w:r>
        <w:rPr>
          <w:sz w:val="28"/>
        </w:rPr>
        <w:t>loi</w:t>
      </w:r>
    </w:p>
    <w:p w:rsidR="00A54C16" w:rsidRDefault="0020637D">
      <w:pPr>
        <w:pStyle w:val="a3"/>
        <w:ind w:left="683" w:right="114" w:hanging="1"/>
        <w:jc w:val="both"/>
      </w:pPr>
      <w:r>
        <w:t>« doit être la même pour tous, soit qu’elle protège, soit qu’elle punisse ». Le principe d’égalité ne s’oppose ni à ce que le législateur règle de façon différente des situations différentes, ni à ce qu’il déroge à l’égalité pour des raisons d’intérêt géné</w:t>
      </w:r>
      <w:r>
        <w:t>ral, pourvu que, dans l’un et l’autre cas, la différence de traitement qui en résulte soit en rapport direct avec l’objet de la loi qui l’établit.</w:t>
      </w:r>
    </w:p>
    <w:p w:rsidR="00A54C16" w:rsidRDefault="00A54C16">
      <w:pPr>
        <w:pStyle w:val="a3"/>
        <w:spacing w:before="3"/>
        <w:rPr>
          <w:sz w:val="31"/>
        </w:rPr>
      </w:pPr>
    </w:p>
    <w:p w:rsidR="00A54C16" w:rsidRDefault="0020637D">
      <w:pPr>
        <w:pStyle w:val="a4"/>
        <w:numPr>
          <w:ilvl w:val="0"/>
          <w:numId w:val="1"/>
        </w:numPr>
        <w:tabs>
          <w:tab w:val="left" w:pos="2242"/>
        </w:tabs>
        <w:ind w:left="683" w:right="111" w:firstLine="851"/>
        <w:jc w:val="both"/>
        <w:rPr>
          <w:sz w:val="28"/>
        </w:rPr>
      </w:pPr>
      <w:r>
        <w:rPr>
          <w:sz w:val="28"/>
        </w:rPr>
        <w:t>En premier lieu, il ressort des travaux préparatoires que, par les dispositions contestées, le législateur a entendu conforter l’objectif de mixité sociale précédemment défini et accroître la production de logements locatifs sociaux dans les communes qui c</w:t>
      </w:r>
      <w:r>
        <w:rPr>
          <w:sz w:val="28"/>
        </w:rPr>
        <w:t>onnaissent un déséquilibre important entre l’offre et la demande de logements. Le Conseil constitutionnel ne dispose pas d’un pouvoir général d’appréciation et de décision de même nature que celui du Parlement. Il ne saurait rechercher si les objectifs que</w:t>
      </w:r>
      <w:r>
        <w:rPr>
          <w:sz w:val="28"/>
        </w:rPr>
        <w:t xml:space="preserve"> s’est assigné le législateur auraient pu être atteints par d’autres voies dès lors que les modalités retenues par la loi ne sont pas manifestement inappropriées à l’objectif</w:t>
      </w:r>
      <w:r>
        <w:rPr>
          <w:spacing w:val="-9"/>
          <w:sz w:val="28"/>
        </w:rPr>
        <w:t xml:space="preserve"> </w:t>
      </w:r>
      <w:r>
        <w:rPr>
          <w:sz w:val="28"/>
        </w:rPr>
        <w:t>visé.</w:t>
      </w:r>
    </w:p>
    <w:p w:rsidR="00A54C16" w:rsidRDefault="00A54C16">
      <w:pPr>
        <w:pStyle w:val="a3"/>
        <w:spacing w:before="4"/>
        <w:rPr>
          <w:sz w:val="31"/>
        </w:rPr>
      </w:pPr>
    </w:p>
    <w:p w:rsidR="00A54C16" w:rsidRDefault="0020637D">
      <w:pPr>
        <w:pStyle w:val="a4"/>
        <w:numPr>
          <w:ilvl w:val="0"/>
          <w:numId w:val="1"/>
        </w:numPr>
        <w:tabs>
          <w:tab w:val="left" w:pos="2242"/>
        </w:tabs>
        <w:ind w:left="683" w:firstLine="852"/>
        <w:jc w:val="both"/>
        <w:rPr>
          <w:sz w:val="28"/>
        </w:rPr>
      </w:pPr>
      <w:r>
        <w:rPr>
          <w:sz w:val="28"/>
        </w:rPr>
        <w:t>En modifiant les critères en vertu desquels certaines communes sont soumis</w:t>
      </w:r>
      <w:r>
        <w:rPr>
          <w:sz w:val="28"/>
        </w:rPr>
        <w:t>es à l’obligation de disposer d’au moins 20 % de logements</w:t>
      </w:r>
      <w:r>
        <w:rPr>
          <w:spacing w:val="32"/>
          <w:sz w:val="28"/>
        </w:rPr>
        <w:t xml:space="preserve"> </w:t>
      </w:r>
      <w:r>
        <w:rPr>
          <w:sz w:val="28"/>
        </w:rPr>
        <w:t>locatifs</w:t>
      </w:r>
      <w:r>
        <w:rPr>
          <w:spacing w:val="29"/>
          <w:sz w:val="28"/>
        </w:rPr>
        <w:t xml:space="preserve"> </w:t>
      </w:r>
      <w:r>
        <w:rPr>
          <w:sz w:val="28"/>
        </w:rPr>
        <w:t>sociaux,</w:t>
      </w:r>
      <w:r>
        <w:rPr>
          <w:spacing w:val="31"/>
          <w:sz w:val="28"/>
        </w:rPr>
        <w:t xml:space="preserve"> </w:t>
      </w:r>
      <w:r>
        <w:rPr>
          <w:sz w:val="28"/>
        </w:rPr>
        <w:t>le</w:t>
      </w:r>
      <w:r>
        <w:rPr>
          <w:spacing w:val="31"/>
          <w:sz w:val="28"/>
        </w:rPr>
        <w:t xml:space="preserve"> </w:t>
      </w:r>
      <w:r>
        <w:rPr>
          <w:sz w:val="28"/>
        </w:rPr>
        <w:t>législateur</w:t>
      </w:r>
      <w:r>
        <w:rPr>
          <w:spacing w:val="32"/>
          <w:sz w:val="28"/>
        </w:rPr>
        <w:t xml:space="preserve"> </w:t>
      </w:r>
      <w:r>
        <w:rPr>
          <w:sz w:val="28"/>
        </w:rPr>
        <w:t>a</w:t>
      </w:r>
      <w:r>
        <w:rPr>
          <w:spacing w:val="33"/>
          <w:sz w:val="28"/>
        </w:rPr>
        <w:t xml:space="preserve"> </w:t>
      </w:r>
      <w:r>
        <w:rPr>
          <w:sz w:val="28"/>
        </w:rPr>
        <w:t>entendu</w:t>
      </w:r>
      <w:r>
        <w:rPr>
          <w:spacing w:val="33"/>
          <w:sz w:val="28"/>
        </w:rPr>
        <w:t xml:space="preserve"> </w:t>
      </w:r>
      <w:r>
        <w:rPr>
          <w:sz w:val="28"/>
        </w:rPr>
        <w:t>recentrer</w:t>
      </w:r>
      <w:r>
        <w:rPr>
          <w:spacing w:val="31"/>
          <w:sz w:val="28"/>
        </w:rPr>
        <w:t xml:space="preserve"> </w:t>
      </w:r>
      <w:r>
        <w:rPr>
          <w:sz w:val="28"/>
        </w:rPr>
        <w:t>ce</w:t>
      </w:r>
      <w:r>
        <w:rPr>
          <w:spacing w:val="33"/>
          <w:sz w:val="28"/>
        </w:rPr>
        <w:t xml:space="preserve"> </w:t>
      </w:r>
      <w:r>
        <w:rPr>
          <w:sz w:val="28"/>
        </w:rPr>
        <w:t>dispositif</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5" w:hanging="1"/>
        <w:jc w:val="both"/>
      </w:pPr>
      <w:r>
        <w:lastRenderedPageBreak/>
        <w:t>sur les territoires où la demande de logement social par rapport à l’offre est la plus forte. En supprimant l’ex</w:t>
      </w:r>
      <w:r>
        <w:t>emption dont bénéficiaient les communes en décroissance démographique et en y substituant, au e du 4° du paragraphe I de l’article 97, d’autres cas d’exemption, il a souhaité que les besoins en logements locatifs sociaux soient mesurés en fonction de  crit</w:t>
      </w:r>
      <w:r>
        <w:t>ères plus pertinents, prenant en compte le niveau de tension sur le parc social et l’éloignement des bassins d’activités et</w:t>
      </w:r>
      <w:r>
        <w:rPr>
          <w:spacing w:val="-8"/>
        </w:rPr>
        <w:t xml:space="preserve"> </w:t>
      </w:r>
      <w:r>
        <w:t>d’emplois.</w:t>
      </w:r>
    </w:p>
    <w:p w:rsidR="00A54C16" w:rsidRDefault="00A54C16">
      <w:pPr>
        <w:pStyle w:val="a3"/>
        <w:spacing w:before="5"/>
        <w:rPr>
          <w:sz w:val="31"/>
        </w:rPr>
      </w:pPr>
    </w:p>
    <w:p w:rsidR="00A54C16" w:rsidRDefault="0020637D">
      <w:pPr>
        <w:pStyle w:val="a4"/>
        <w:numPr>
          <w:ilvl w:val="0"/>
          <w:numId w:val="1"/>
        </w:numPr>
        <w:tabs>
          <w:tab w:val="left" w:pos="2241"/>
        </w:tabs>
        <w:ind w:left="682" w:right="112" w:firstLine="852"/>
        <w:jc w:val="both"/>
        <w:rPr>
          <w:sz w:val="28"/>
        </w:rPr>
      </w:pPr>
      <w:r>
        <w:rPr>
          <w:sz w:val="28"/>
        </w:rPr>
        <w:t>En second lieu, en modifiant l’article L. 302-7 du code de la construction et de l’habitation par l’article 99 de la loi</w:t>
      </w:r>
      <w:r>
        <w:rPr>
          <w:sz w:val="28"/>
        </w:rPr>
        <w:t xml:space="preserve"> déférée, le  législateur a exonéré du prélèvement sur les ressources fiscales, pendant trois ans, toute commune soumise pour la première fois, à compter du       1</w:t>
      </w:r>
      <w:r>
        <w:rPr>
          <w:sz w:val="28"/>
          <w:vertAlign w:val="superscript"/>
        </w:rPr>
        <w:t>er</w:t>
      </w:r>
      <w:r>
        <w:rPr>
          <w:sz w:val="28"/>
        </w:rPr>
        <w:t xml:space="preserve"> janvier 2015, à l’obligation de comporter une part minimale de logements locatifs sociaux</w:t>
      </w:r>
      <w:r>
        <w:rPr>
          <w:sz w:val="28"/>
        </w:rPr>
        <w:t xml:space="preserve"> prévue à l’article L. 302-5 du même code. Il a ainsi tenu compte de la situation particulière des communes nouvellement soumises à cette</w:t>
      </w:r>
      <w:r>
        <w:rPr>
          <w:spacing w:val="-3"/>
          <w:sz w:val="28"/>
        </w:rPr>
        <w:t xml:space="preserve"> </w:t>
      </w:r>
      <w:r>
        <w:rPr>
          <w:sz w:val="28"/>
        </w:rPr>
        <w:t>obligation.</w:t>
      </w:r>
    </w:p>
    <w:p w:rsidR="00A54C16" w:rsidRDefault="00A54C16">
      <w:pPr>
        <w:pStyle w:val="a3"/>
        <w:spacing w:before="3"/>
        <w:rPr>
          <w:sz w:val="31"/>
        </w:rPr>
      </w:pPr>
    </w:p>
    <w:p w:rsidR="00A54C16" w:rsidRDefault="0020637D">
      <w:pPr>
        <w:pStyle w:val="a4"/>
        <w:numPr>
          <w:ilvl w:val="0"/>
          <w:numId w:val="1"/>
        </w:numPr>
        <w:tabs>
          <w:tab w:val="left" w:pos="2240"/>
        </w:tabs>
        <w:ind w:left="682" w:firstLine="851"/>
        <w:jc w:val="both"/>
        <w:rPr>
          <w:sz w:val="28"/>
        </w:rPr>
      </w:pPr>
      <w:r>
        <w:rPr>
          <w:sz w:val="28"/>
        </w:rPr>
        <w:t>Il résulte de ce qui précède que les dispositions contestées, qui ont pour but de mettre en œuvre l’objec</w:t>
      </w:r>
      <w:r>
        <w:rPr>
          <w:sz w:val="28"/>
        </w:rPr>
        <w:t>tif de mixité sociale et d’accroissement de la production de logements locatifs sociaux, répondent à des fins d’intérêt général. Elles ne sont pas manifestement inappropriées à l’objectif visé. Le législateur, en modifiant les critères en vertu desquels ce</w:t>
      </w:r>
      <w:r>
        <w:rPr>
          <w:sz w:val="28"/>
        </w:rPr>
        <w:t>rtaines communes sont soumises à l’obligation prévue à l’article L. 302-5 ainsi que les cas d’exemption de cette obligation, n’a pas porté à leur libre administration une atteinte d’une gravité telle que seraient méconnus les articles 72 et 72-2 de la Cons</w:t>
      </w:r>
      <w:r>
        <w:rPr>
          <w:sz w:val="28"/>
        </w:rPr>
        <w:t>titution. Les dispositions contestées n’établissant par ailleurs aucune différence de traitement contraire au principe d’égalité, le grief tiré de la méconnaissance de ce principe doit être écarté.</w:t>
      </w:r>
    </w:p>
    <w:p w:rsidR="00A54C16" w:rsidRDefault="00A54C16">
      <w:pPr>
        <w:pStyle w:val="a3"/>
        <w:spacing w:before="3"/>
        <w:rPr>
          <w:sz w:val="31"/>
        </w:rPr>
      </w:pPr>
    </w:p>
    <w:p w:rsidR="00A54C16" w:rsidRDefault="0020637D">
      <w:pPr>
        <w:pStyle w:val="a4"/>
        <w:numPr>
          <w:ilvl w:val="0"/>
          <w:numId w:val="1"/>
        </w:numPr>
        <w:tabs>
          <w:tab w:val="left" w:pos="2240"/>
        </w:tabs>
        <w:ind w:left="682" w:right="115" w:firstLine="852"/>
        <w:jc w:val="both"/>
        <w:rPr>
          <w:sz w:val="28"/>
        </w:rPr>
      </w:pPr>
      <w:r>
        <w:rPr>
          <w:sz w:val="28"/>
        </w:rPr>
        <w:t>Par conséquent, les dispositions des b à d du 4° du  para</w:t>
      </w:r>
      <w:r>
        <w:rPr>
          <w:sz w:val="28"/>
        </w:rPr>
        <w:t>graphe I de l’article 97 de la loi déférée, qui ne méconnaissent aucune autre exigence constitutionnelle, sont conformes à la</w:t>
      </w:r>
      <w:r>
        <w:rPr>
          <w:spacing w:val="-14"/>
          <w:sz w:val="28"/>
        </w:rPr>
        <w:t xml:space="preserve"> </w:t>
      </w:r>
      <w:r>
        <w:rPr>
          <w:sz w:val="28"/>
        </w:rPr>
        <w:t>Constitution.</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rPr>
          <w:sz w:val="28"/>
        </w:rPr>
      </w:pPr>
      <w:r>
        <w:rPr>
          <w:sz w:val="28"/>
          <w:u w:val="single"/>
        </w:rPr>
        <w:t>Sur certaines dispositions de l’article 98</w:t>
      </w:r>
      <w:r>
        <w:rPr>
          <w:spacing w:val="-13"/>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2"/>
        <w:jc w:val="both"/>
        <w:rPr>
          <w:sz w:val="28"/>
        </w:rPr>
      </w:pPr>
      <w:r>
        <w:rPr>
          <w:sz w:val="28"/>
        </w:rPr>
        <w:t>L’article 98 de la loi déférée modifie l’article L. 302-9-1 du code de la construction et de l’habitation, afin d’aménager la procédure de carence applicable aux communes n’ayant pas atteint les objectifs de réalisation de logements locatifs sociaux auxque</w:t>
      </w:r>
      <w:r>
        <w:rPr>
          <w:sz w:val="28"/>
        </w:rPr>
        <w:t>ls elles sont</w:t>
      </w:r>
      <w:r>
        <w:rPr>
          <w:spacing w:val="-14"/>
          <w:sz w:val="28"/>
        </w:rPr>
        <w:t xml:space="preserve"> </w:t>
      </w:r>
      <w:r>
        <w:rPr>
          <w:sz w:val="28"/>
        </w:rPr>
        <w:t>tenues.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firstLine="851"/>
        <w:jc w:val="both"/>
        <w:rPr>
          <w:sz w:val="28"/>
        </w:rPr>
      </w:pPr>
      <w:r>
        <w:rPr>
          <w:sz w:val="28"/>
        </w:rPr>
        <w:lastRenderedPageBreak/>
        <w:t>En application du cinquième alinéa du a du 1°  du  paragraphe I de l’article 98, la procédure de carence peut être engagée par arrêté du représentant de l’État dans le département au motif qu’une commune n’a pas resp</w:t>
      </w:r>
      <w:r>
        <w:rPr>
          <w:sz w:val="28"/>
        </w:rPr>
        <w:t>ecté « la typologie de financement définie au III » de l’article L. 302-8 du code de la construction et de l’habitation. Selon ce paragraphe III, pour atteindre l’objectif de réalisation de logements locatifs sociaux par période triennale, « la part des lo</w:t>
      </w:r>
      <w:r>
        <w:rPr>
          <w:sz w:val="28"/>
        </w:rPr>
        <w:t>gements financés en prêts locatifs sociaux ne peut être supérieure à 30 % des logements locatifs sociaux à produire et celle des logements financés en prêts locatifs aidés d’intégration est au moins égale à 30 %. Si la part des logements locatifs sociaux s</w:t>
      </w:r>
      <w:r>
        <w:rPr>
          <w:sz w:val="28"/>
        </w:rPr>
        <w:t>ur la commune est inférieure à 10 % du total des résidences principales et que la commune n’est pas couverte par un programme local de l’habitat, la part des logements financés en prêts locatifs sociaux ne peut être supérieure à 20 % des logements locatifs</w:t>
      </w:r>
      <w:r>
        <w:rPr>
          <w:sz w:val="28"/>
        </w:rPr>
        <w:t xml:space="preserve"> sociaux à réaliser</w:t>
      </w:r>
      <w:r>
        <w:rPr>
          <w:spacing w:val="-19"/>
          <w:sz w:val="28"/>
        </w:rPr>
        <w:t xml:space="preserve"> </w:t>
      </w:r>
      <w:r>
        <w:rPr>
          <w:sz w:val="28"/>
        </w:rPr>
        <w:t>».</w:t>
      </w:r>
    </w:p>
    <w:p w:rsidR="00A54C16" w:rsidRDefault="00A54C16">
      <w:pPr>
        <w:pStyle w:val="a3"/>
        <w:spacing w:before="4"/>
        <w:rPr>
          <w:sz w:val="31"/>
        </w:rPr>
      </w:pPr>
    </w:p>
    <w:p w:rsidR="00A54C16" w:rsidRDefault="0020637D">
      <w:pPr>
        <w:pStyle w:val="a4"/>
        <w:numPr>
          <w:ilvl w:val="0"/>
          <w:numId w:val="1"/>
        </w:numPr>
        <w:tabs>
          <w:tab w:val="left" w:pos="2241"/>
        </w:tabs>
        <w:ind w:left="682" w:firstLine="851"/>
        <w:jc w:val="both"/>
        <w:rPr>
          <w:sz w:val="28"/>
        </w:rPr>
      </w:pPr>
      <w:r>
        <w:rPr>
          <w:sz w:val="28"/>
        </w:rPr>
        <w:t>Par ailleurs, en application des quatrième et cinquième alinéas du b du 1° du paragraphe I de l’article 98, l’arrêté de carence pris par le représentant de l’État prévoit désormais, « pendant toute sa durée d’application, le transfe</w:t>
      </w:r>
      <w:r>
        <w:rPr>
          <w:sz w:val="28"/>
        </w:rPr>
        <w:t>rt à l’État des droits de réservation mentionnés à l’article L. 441-1, dont dispose la commune sur des logements sociaux existants ou à livrer, et la suspension ou modification des conventions de réservation passées par elle avec les bailleurs gestionnaire</w:t>
      </w:r>
      <w:r>
        <w:rPr>
          <w:sz w:val="28"/>
        </w:rPr>
        <w:t>s, ainsi que l’obligation pour la commune de communiquer au représentant de l’État dans le département la liste des bailleurs et des logements concernés</w:t>
      </w:r>
      <w:r>
        <w:rPr>
          <w:spacing w:val="-16"/>
          <w:sz w:val="28"/>
        </w:rPr>
        <w:t xml:space="preserve"> </w:t>
      </w:r>
      <w:r>
        <w:rPr>
          <w:sz w:val="28"/>
        </w:rPr>
        <w:t>».</w:t>
      </w:r>
    </w:p>
    <w:p w:rsidR="00A54C16" w:rsidRDefault="00A54C16">
      <w:pPr>
        <w:pStyle w:val="a3"/>
        <w:spacing w:before="2"/>
        <w:rPr>
          <w:sz w:val="31"/>
        </w:rPr>
      </w:pPr>
    </w:p>
    <w:p w:rsidR="00A54C16" w:rsidRDefault="0020637D">
      <w:pPr>
        <w:pStyle w:val="a4"/>
        <w:numPr>
          <w:ilvl w:val="0"/>
          <w:numId w:val="1"/>
        </w:numPr>
        <w:tabs>
          <w:tab w:val="left" w:pos="2241"/>
        </w:tabs>
        <w:ind w:left="682" w:firstLine="851"/>
        <w:jc w:val="both"/>
        <w:rPr>
          <w:sz w:val="28"/>
        </w:rPr>
      </w:pPr>
      <w:r>
        <w:rPr>
          <w:sz w:val="28"/>
        </w:rPr>
        <w:t>Les députés requérants soutiennent que la possibilité d’engager la procédure de carence en cas de méconnaissance de la typologie de financement des logements sociaux porte une atteinte inconstitutionnelle à la libre administration des collectivités territo</w:t>
      </w:r>
      <w:r>
        <w:rPr>
          <w:sz w:val="28"/>
        </w:rPr>
        <w:t>riales. Cette dernière serait également méconnue, selon les députés et les sénateurs requérants, par les dispositions prévoyant le transfert de plein droit au préfet des droits de réservation des logements sociaux des communes  objets de la procédure de ca</w:t>
      </w:r>
      <w:r>
        <w:rPr>
          <w:sz w:val="28"/>
        </w:rPr>
        <w:t>rence. Les sénateurs requérants contestent également ces mêmes dispositions au regard du deuxième alinéa de  l’article 72 de la</w:t>
      </w:r>
      <w:r>
        <w:rPr>
          <w:spacing w:val="-9"/>
          <w:sz w:val="28"/>
        </w:rPr>
        <w:t xml:space="preserve"> </w:t>
      </w:r>
      <w:r>
        <w:rPr>
          <w:sz w:val="28"/>
        </w:rPr>
        <w:t>Constitution.</w:t>
      </w:r>
    </w:p>
    <w:p w:rsidR="00A54C16" w:rsidRDefault="0020637D">
      <w:pPr>
        <w:pStyle w:val="a3"/>
        <w:spacing w:before="243"/>
        <w:ind w:left="682" w:right="239" w:firstLine="1135"/>
      </w:pPr>
      <w:r>
        <w:t xml:space="preserve">. </w:t>
      </w:r>
      <w:r>
        <w:rPr>
          <w:u w:val="dotted"/>
        </w:rPr>
        <w:t>En ce qui concerne le cinquième alinéa du a du 1° du</w:t>
      </w:r>
      <w:r>
        <w:t xml:space="preserve"> </w:t>
      </w:r>
      <w:r>
        <w:rPr>
          <w:u w:val="dotted"/>
        </w:rPr>
        <w:t>paragraphe I de l’article 98</w:t>
      </w:r>
      <w:r>
        <w:rPr>
          <w:spacing w:val="-10"/>
        </w:rPr>
        <w:t xml:space="preserve"> </w:t>
      </w:r>
      <w:r>
        <w:t>:</w:t>
      </w:r>
    </w:p>
    <w:p w:rsidR="00A54C16" w:rsidRDefault="00A54C16">
      <w:pPr>
        <w:pStyle w:val="a3"/>
        <w:spacing w:before="2"/>
        <w:rPr>
          <w:sz w:val="31"/>
        </w:rPr>
      </w:pPr>
    </w:p>
    <w:p w:rsidR="00A54C16" w:rsidRDefault="0020637D">
      <w:pPr>
        <w:pStyle w:val="a4"/>
        <w:numPr>
          <w:ilvl w:val="0"/>
          <w:numId w:val="1"/>
        </w:numPr>
        <w:tabs>
          <w:tab w:val="left" w:pos="2241"/>
        </w:tabs>
        <w:spacing w:before="1"/>
        <w:ind w:left="682" w:firstLine="851"/>
        <w:jc w:val="both"/>
        <w:rPr>
          <w:sz w:val="28"/>
        </w:rPr>
      </w:pPr>
      <w:r>
        <w:rPr>
          <w:sz w:val="28"/>
        </w:rPr>
        <w:t>En application de l’article L. 302-9-1 du code de la construction et de l’habitation, dans sa rédaction en vigueur, le représentant de l’État doit tenir compte du respect de la typologie de financement des logements</w:t>
      </w:r>
      <w:r>
        <w:rPr>
          <w:spacing w:val="57"/>
          <w:sz w:val="28"/>
        </w:rPr>
        <w:t xml:space="preserve"> </w:t>
      </w:r>
      <w:r>
        <w:rPr>
          <w:sz w:val="28"/>
        </w:rPr>
        <w:t>sociaux</w:t>
      </w:r>
      <w:r>
        <w:rPr>
          <w:spacing w:val="57"/>
          <w:sz w:val="28"/>
        </w:rPr>
        <w:t xml:space="preserve"> </w:t>
      </w:r>
      <w:r>
        <w:rPr>
          <w:sz w:val="28"/>
        </w:rPr>
        <w:t>avant,</w:t>
      </w:r>
      <w:r>
        <w:rPr>
          <w:spacing w:val="55"/>
          <w:sz w:val="28"/>
        </w:rPr>
        <w:t xml:space="preserve"> </w:t>
      </w:r>
      <w:r>
        <w:rPr>
          <w:sz w:val="28"/>
        </w:rPr>
        <w:t>le</w:t>
      </w:r>
      <w:r>
        <w:rPr>
          <w:spacing w:val="56"/>
          <w:sz w:val="28"/>
        </w:rPr>
        <w:t xml:space="preserve"> </w:t>
      </w:r>
      <w:r>
        <w:rPr>
          <w:sz w:val="28"/>
        </w:rPr>
        <w:t>cas</w:t>
      </w:r>
      <w:r>
        <w:rPr>
          <w:spacing w:val="59"/>
          <w:sz w:val="28"/>
        </w:rPr>
        <w:t xml:space="preserve"> </w:t>
      </w:r>
      <w:r>
        <w:rPr>
          <w:sz w:val="28"/>
        </w:rPr>
        <w:t>échéant,</w:t>
      </w:r>
      <w:r>
        <w:rPr>
          <w:spacing w:val="58"/>
          <w:sz w:val="28"/>
        </w:rPr>
        <w:t xml:space="preserve"> </w:t>
      </w:r>
      <w:r>
        <w:rPr>
          <w:sz w:val="28"/>
        </w:rPr>
        <w:t>de</w:t>
      </w:r>
      <w:r>
        <w:rPr>
          <w:spacing w:val="56"/>
          <w:sz w:val="28"/>
        </w:rPr>
        <w:t xml:space="preserve"> </w:t>
      </w:r>
      <w:r>
        <w:rPr>
          <w:sz w:val="28"/>
        </w:rPr>
        <w:t>pronon</w:t>
      </w:r>
      <w:r>
        <w:rPr>
          <w:sz w:val="28"/>
        </w:rPr>
        <w:t>cer</w:t>
      </w:r>
      <w:r>
        <w:rPr>
          <w:spacing w:val="56"/>
          <w:sz w:val="28"/>
        </w:rPr>
        <w:t xml:space="preserve"> </w:t>
      </w:r>
      <w:r>
        <w:rPr>
          <w:sz w:val="28"/>
        </w:rPr>
        <w:t>la</w:t>
      </w:r>
      <w:r>
        <w:rPr>
          <w:spacing w:val="59"/>
          <w:sz w:val="28"/>
        </w:rPr>
        <w:t xml:space="preserve"> </w:t>
      </w:r>
      <w:r>
        <w:rPr>
          <w:sz w:val="28"/>
        </w:rPr>
        <w:t>carence</w:t>
      </w:r>
      <w:r>
        <w:rPr>
          <w:spacing w:val="56"/>
          <w:sz w:val="28"/>
        </w:rPr>
        <w:t xml:space="preserve"> </w:t>
      </w:r>
      <w:r>
        <w:rPr>
          <w:sz w:val="28"/>
        </w:rPr>
        <w:t>de</w:t>
      </w:r>
      <w:r>
        <w:rPr>
          <w:spacing w:val="56"/>
          <w:sz w:val="28"/>
        </w:rPr>
        <w:t xml:space="preserve"> </w:t>
      </w:r>
      <w:r>
        <w:rPr>
          <w:sz w:val="28"/>
        </w:rPr>
        <w:t>la</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4"/>
        <w:jc w:val="both"/>
      </w:pPr>
      <w:r>
        <w:lastRenderedPageBreak/>
        <w:t xml:space="preserve">commune n’ayant pas atteint le nombre de logements locatifs sociaux qu’elle devait réaliser. En permettant au représentant de l’État de constater cette carence au seul motif que cette typologie n’a pas été respectée, </w:t>
      </w:r>
      <w:r>
        <w:t>même si le nombre total de logements à réaliser a été atteint, le législateur a entendu favoriser un développement équilibré du parc locatif social entre les différentes catégories de</w:t>
      </w:r>
      <w:r>
        <w:rPr>
          <w:spacing w:val="-6"/>
        </w:rPr>
        <w:t xml:space="preserve"> </w:t>
      </w:r>
      <w:r>
        <w:t>logements.</w:t>
      </w:r>
    </w:p>
    <w:p w:rsidR="00A54C16" w:rsidRDefault="00A54C16">
      <w:pPr>
        <w:pStyle w:val="a3"/>
        <w:spacing w:before="3"/>
        <w:rPr>
          <w:sz w:val="31"/>
        </w:rPr>
      </w:pPr>
    </w:p>
    <w:p w:rsidR="00A54C16" w:rsidRDefault="0020637D">
      <w:pPr>
        <w:pStyle w:val="a4"/>
        <w:numPr>
          <w:ilvl w:val="0"/>
          <w:numId w:val="1"/>
        </w:numPr>
        <w:tabs>
          <w:tab w:val="left" w:pos="2240"/>
        </w:tabs>
        <w:ind w:left="682" w:firstLine="852"/>
        <w:jc w:val="both"/>
        <w:rPr>
          <w:sz w:val="28"/>
        </w:rPr>
      </w:pPr>
      <w:r>
        <w:rPr>
          <w:sz w:val="28"/>
        </w:rPr>
        <w:t xml:space="preserve">Par conséquent, les dispositions contestées, qui ont pour </w:t>
      </w:r>
      <w:r>
        <w:rPr>
          <w:spacing w:val="-2"/>
          <w:sz w:val="28"/>
        </w:rPr>
        <w:t>bu</w:t>
      </w:r>
      <w:r>
        <w:rPr>
          <w:spacing w:val="-2"/>
          <w:sz w:val="28"/>
        </w:rPr>
        <w:t xml:space="preserve">t </w:t>
      </w:r>
      <w:r>
        <w:rPr>
          <w:sz w:val="28"/>
        </w:rPr>
        <w:t>de mettre en œuvre l’objectif de mixité sociale, répondent à des fins d’intérêt général. Elles ne sont pas manifestement inappropriées à l’objectif visé. Le législateur, en imposant ces nouvelles contraintes aux communes, n’a pas porté à leur libre admin</w:t>
      </w:r>
      <w:r>
        <w:rPr>
          <w:sz w:val="28"/>
        </w:rPr>
        <w:t>istration une atteinte d’une gravité telle que seraient méconnus les articles 72 et 72-2 de la</w:t>
      </w:r>
      <w:r>
        <w:rPr>
          <w:spacing w:val="-9"/>
          <w:sz w:val="28"/>
        </w:rPr>
        <w:t xml:space="preserve"> </w:t>
      </w:r>
      <w:r>
        <w:rPr>
          <w:sz w:val="28"/>
        </w:rPr>
        <w:t>Constitution.</w:t>
      </w:r>
    </w:p>
    <w:p w:rsidR="00A54C16" w:rsidRDefault="0020637D">
      <w:pPr>
        <w:pStyle w:val="a3"/>
        <w:spacing w:before="240"/>
        <w:ind w:left="682" w:right="239" w:firstLine="1135"/>
      </w:pPr>
      <w:r>
        <w:t xml:space="preserve">. </w:t>
      </w:r>
      <w:r>
        <w:rPr>
          <w:u w:val="dotted"/>
        </w:rPr>
        <w:t>En ce qui concerne les quatrième et  cinquième alinéas  du  b</w:t>
      </w:r>
      <w:r>
        <w:t xml:space="preserve">  </w:t>
      </w:r>
      <w:r>
        <w:rPr>
          <w:u w:val="dotted"/>
        </w:rPr>
        <w:t>du 1° du paragraphe I de l’article 98</w:t>
      </w:r>
      <w:r>
        <w:rPr>
          <w:spacing w:val="-12"/>
        </w:rPr>
        <w:t xml:space="preserve"> </w:t>
      </w:r>
      <w:r>
        <w:t>:</w:t>
      </w:r>
    </w:p>
    <w:p w:rsidR="00A54C16" w:rsidRDefault="00A54C16">
      <w:pPr>
        <w:pStyle w:val="a3"/>
        <w:spacing w:before="5"/>
        <w:rPr>
          <w:sz w:val="31"/>
        </w:rPr>
      </w:pPr>
    </w:p>
    <w:p w:rsidR="00A54C16" w:rsidRDefault="0020637D">
      <w:pPr>
        <w:pStyle w:val="a4"/>
        <w:numPr>
          <w:ilvl w:val="0"/>
          <w:numId w:val="1"/>
        </w:numPr>
        <w:tabs>
          <w:tab w:val="left" w:pos="2241"/>
        </w:tabs>
        <w:spacing w:before="1"/>
        <w:ind w:left="682" w:right="114" w:firstLine="852"/>
        <w:jc w:val="both"/>
        <w:rPr>
          <w:sz w:val="28"/>
        </w:rPr>
      </w:pPr>
      <w:r>
        <w:rPr>
          <w:sz w:val="28"/>
        </w:rPr>
        <w:t>Les dispositions prévoyant le transfert à</w:t>
      </w:r>
      <w:r>
        <w:rPr>
          <w:sz w:val="28"/>
        </w:rPr>
        <w:t xml:space="preserve"> l’État de la gestion du contingent municipal de logements sociaux et la suspension ou la modification des conventions de réservation passées entre une commune et un bailleur social s’appliquent de plein droit en cas de carence de la commune, prononcée dan</w:t>
      </w:r>
      <w:r>
        <w:rPr>
          <w:sz w:val="28"/>
        </w:rPr>
        <w:t>s les conditions prévues à l’article L. 302-9-1 du code de la construction et de</w:t>
      </w:r>
      <w:r>
        <w:rPr>
          <w:spacing w:val="-9"/>
          <w:sz w:val="28"/>
        </w:rPr>
        <w:t xml:space="preserve"> </w:t>
      </w:r>
      <w:r>
        <w:rPr>
          <w:sz w:val="28"/>
        </w:rPr>
        <w:t>l’habitation.</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En premier lieu, le pouvoir de substitution ainsi conféré au représentant de l’État vise, dans les communes en situation de carence, à permettre que soient sati</w:t>
      </w:r>
      <w:r>
        <w:rPr>
          <w:sz w:val="28"/>
        </w:rPr>
        <w:t>sfaites des demandes de logements sociaux. Il a également pour objet d’inciter les communes à respecter leurs objectifs de réalisation de logements locatifs sociaux. Dès lors, les dispositions contestées sont justifiées par un but d’intérêt</w:t>
      </w:r>
      <w:r>
        <w:rPr>
          <w:spacing w:val="-7"/>
          <w:sz w:val="28"/>
        </w:rPr>
        <w:t xml:space="preserve"> </w:t>
      </w:r>
      <w:r>
        <w:rPr>
          <w:sz w:val="28"/>
        </w:rPr>
        <w:t>général.</w:t>
      </w:r>
    </w:p>
    <w:p w:rsidR="00A54C16" w:rsidRDefault="00A54C16">
      <w:pPr>
        <w:pStyle w:val="a3"/>
        <w:spacing w:before="1"/>
        <w:rPr>
          <w:sz w:val="31"/>
        </w:rPr>
      </w:pPr>
    </w:p>
    <w:p w:rsidR="00A54C16" w:rsidRDefault="0020637D">
      <w:pPr>
        <w:pStyle w:val="a4"/>
        <w:numPr>
          <w:ilvl w:val="0"/>
          <w:numId w:val="1"/>
        </w:numPr>
        <w:tabs>
          <w:tab w:val="left" w:pos="2241"/>
        </w:tabs>
        <w:ind w:left="682" w:right="116" w:firstLine="851"/>
        <w:jc w:val="both"/>
        <w:rPr>
          <w:sz w:val="28"/>
        </w:rPr>
      </w:pPr>
      <w:r>
        <w:rPr>
          <w:sz w:val="28"/>
        </w:rPr>
        <w:t>En second lieu, l’objet et la portée de la compétence ainsi conférée au représentant de l’État sont précisément définis en adéquation avec l’objectif</w:t>
      </w:r>
      <w:r>
        <w:rPr>
          <w:spacing w:val="-5"/>
          <w:sz w:val="28"/>
        </w:rPr>
        <w:t xml:space="preserve"> </w:t>
      </w:r>
      <w:r>
        <w:rPr>
          <w:sz w:val="28"/>
        </w:rPr>
        <w:t>poursuivi.</w:t>
      </w:r>
    </w:p>
    <w:p w:rsidR="00A54C16" w:rsidRDefault="00A54C16">
      <w:pPr>
        <w:pStyle w:val="a3"/>
        <w:spacing w:before="4"/>
        <w:rPr>
          <w:sz w:val="31"/>
        </w:rPr>
      </w:pPr>
    </w:p>
    <w:p w:rsidR="00A54C16" w:rsidRDefault="0020637D">
      <w:pPr>
        <w:pStyle w:val="a4"/>
        <w:numPr>
          <w:ilvl w:val="0"/>
          <w:numId w:val="1"/>
        </w:numPr>
        <w:tabs>
          <w:tab w:val="left" w:pos="2241"/>
        </w:tabs>
        <w:ind w:left="682" w:firstLine="851"/>
        <w:jc w:val="both"/>
        <w:rPr>
          <w:sz w:val="28"/>
        </w:rPr>
      </w:pPr>
      <w:r>
        <w:rPr>
          <w:sz w:val="28"/>
        </w:rPr>
        <w:t xml:space="preserve">Par conséquent, l’atteinte portée à la libre administration des collectivités territoriales qui résulte des dispositions contestées ne revêt pas un caractère disproportionné au regard de l’objectif poursuivi. Le grief tiré de la méconnaissance de la libre </w:t>
      </w:r>
      <w:r>
        <w:rPr>
          <w:sz w:val="28"/>
        </w:rPr>
        <w:t>administration des collectivités territoriales doit donc être écarté. Il en va de même du grief fondé sur la méconnaissance du deuxième alinéa de l’article 72 de la</w:t>
      </w:r>
      <w:r>
        <w:rPr>
          <w:spacing w:val="-20"/>
          <w:sz w:val="28"/>
        </w:rPr>
        <w:t xml:space="preserve"> </w:t>
      </w:r>
      <w:r>
        <w:rPr>
          <w:sz w:val="28"/>
        </w:rPr>
        <w:t>Constitution.</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right="115" w:firstLine="851"/>
        <w:jc w:val="both"/>
        <w:rPr>
          <w:sz w:val="28"/>
        </w:rPr>
      </w:pPr>
      <w:r>
        <w:rPr>
          <w:sz w:val="28"/>
        </w:rPr>
        <w:lastRenderedPageBreak/>
        <w:t>Il résulte de ce qui précède que le cinquième alinéa du a e</w:t>
      </w:r>
      <w:r>
        <w:rPr>
          <w:sz w:val="28"/>
        </w:rPr>
        <w:t>t les quatrième et cinquième alinéas du b du 1° du paragraphe I de l’article 98 de la loi déférée, qui ne méconnaissent aucune autre exigence constitutionnelle, sont conformes à la</w:t>
      </w:r>
      <w:r>
        <w:rPr>
          <w:spacing w:val="-8"/>
          <w:sz w:val="28"/>
        </w:rPr>
        <w:t xml:space="preserve"> </w:t>
      </w:r>
      <w:r>
        <w:rPr>
          <w:sz w:val="28"/>
        </w:rPr>
        <w:t>Constitution.</w:t>
      </w:r>
    </w:p>
    <w:p w:rsidR="00A54C16" w:rsidRDefault="00A54C16">
      <w:pPr>
        <w:pStyle w:val="a3"/>
        <w:spacing w:before="9"/>
        <w:rPr>
          <w:sz w:val="41"/>
        </w:rPr>
      </w:pPr>
    </w:p>
    <w:p w:rsidR="00A54C16" w:rsidRDefault="0020637D">
      <w:pPr>
        <w:pStyle w:val="a4"/>
        <w:numPr>
          <w:ilvl w:val="0"/>
          <w:numId w:val="2"/>
        </w:numPr>
        <w:tabs>
          <w:tab w:val="left" w:pos="971"/>
        </w:tabs>
        <w:ind w:left="970" w:right="0"/>
        <w:jc w:val="left"/>
        <w:rPr>
          <w:sz w:val="28"/>
        </w:rPr>
      </w:pPr>
      <w:r>
        <w:rPr>
          <w:sz w:val="28"/>
          <w:u w:val="single"/>
        </w:rPr>
        <w:t>Sur certaines dispositions de l’article 99</w:t>
      </w:r>
      <w:r>
        <w:rPr>
          <w:spacing w:val="-13"/>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L’article 99 d</w:t>
      </w:r>
      <w:r>
        <w:rPr>
          <w:sz w:val="28"/>
        </w:rPr>
        <w:t>e la loi déférée modifie les règles régissant le prélèvement sur les ressources fiscales des communes ne respectant pas l’obligation qui leur incombe de disposer, sur leur territoire, d’un nombre minimal de logements locatifs sociaux. En particulier, le 2°</w:t>
      </w:r>
      <w:r>
        <w:rPr>
          <w:sz w:val="28"/>
        </w:rPr>
        <w:t xml:space="preserve"> de son paragraphe I modifie l’article L. 302-7 du code de la construction et de l’habitation, afin d’augmenter ce prélèvement : pour le calcul de ce dernier, il porte de 20 % à 25 % du potentiel fiscal par habitant le montant par lequel est multipliée la </w:t>
      </w:r>
      <w:r>
        <w:rPr>
          <w:sz w:val="28"/>
        </w:rPr>
        <w:t>différence entre le nombre de logements locatifs sociaux à atteindre et le nombre de logements locatifs sociaux existants dans la</w:t>
      </w:r>
      <w:r>
        <w:rPr>
          <w:spacing w:val="-3"/>
          <w:sz w:val="28"/>
        </w:rPr>
        <w:t xml:space="preserve"> </w:t>
      </w:r>
      <w:r>
        <w:rPr>
          <w:sz w:val="28"/>
        </w:rPr>
        <w:t>commune.</w:t>
      </w:r>
    </w:p>
    <w:p w:rsidR="00A54C16" w:rsidRDefault="00A54C16">
      <w:pPr>
        <w:pStyle w:val="a3"/>
        <w:spacing w:before="4"/>
        <w:rPr>
          <w:sz w:val="31"/>
        </w:rPr>
      </w:pPr>
    </w:p>
    <w:p w:rsidR="00A54C16" w:rsidRDefault="0020637D">
      <w:pPr>
        <w:pStyle w:val="a4"/>
        <w:numPr>
          <w:ilvl w:val="0"/>
          <w:numId w:val="1"/>
        </w:numPr>
        <w:tabs>
          <w:tab w:val="left" w:pos="2241"/>
        </w:tabs>
        <w:ind w:left="682" w:right="116" w:firstLine="851"/>
        <w:jc w:val="both"/>
        <w:rPr>
          <w:sz w:val="28"/>
        </w:rPr>
      </w:pPr>
      <w:r>
        <w:rPr>
          <w:sz w:val="28"/>
        </w:rPr>
        <w:t xml:space="preserve">En outre, le b du 1° du paragraphe I de l’article 99 de la </w:t>
      </w:r>
      <w:r>
        <w:rPr>
          <w:spacing w:val="-2"/>
          <w:sz w:val="28"/>
        </w:rPr>
        <w:t xml:space="preserve">loi </w:t>
      </w:r>
      <w:r>
        <w:rPr>
          <w:sz w:val="28"/>
        </w:rPr>
        <w:t>déférée, qui modifie la première phrase du premier</w:t>
      </w:r>
      <w:r>
        <w:rPr>
          <w:spacing w:val="11"/>
          <w:sz w:val="28"/>
        </w:rPr>
        <w:t xml:space="preserve"> </w:t>
      </w:r>
      <w:r>
        <w:rPr>
          <w:sz w:val="28"/>
        </w:rPr>
        <w:t>al</w:t>
      </w:r>
      <w:r>
        <w:rPr>
          <w:sz w:val="28"/>
        </w:rPr>
        <w:t>inéa de l’article</w:t>
      </w:r>
    </w:p>
    <w:p w:rsidR="00A54C16" w:rsidRDefault="0020637D">
      <w:pPr>
        <w:pStyle w:val="a3"/>
        <w:ind w:left="682" w:right="114" w:hanging="1"/>
        <w:jc w:val="both"/>
      </w:pPr>
      <w:r>
        <w:t>L. 302-7 du code de la construction et de l’habitation, aménage les conditions d’exonération de ce prélèvement pour les communes bénéficiant de la dotation de solidarité urbaine et de cohésion sociale. Alors qu’en sont actuellement exonér</w:t>
      </w:r>
      <w:r>
        <w:t>ées toutes les communes bénéficiant de cette dotation lorsque le nombre de logements sociaux y excède déjà 15 % des résidences principales, la loi déférée porte ce taux à 20 %, pour les seules communes soumises à l’objectif de disposer d’au moins 25 % de l</w:t>
      </w:r>
      <w:r>
        <w:t>ogements locatifs sociaux.</w:t>
      </w:r>
    </w:p>
    <w:p w:rsidR="00A54C16" w:rsidRDefault="00A54C16">
      <w:pPr>
        <w:pStyle w:val="a3"/>
        <w:spacing w:before="2"/>
        <w:rPr>
          <w:sz w:val="31"/>
        </w:rPr>
      </w:pPr>
    </w:p>
    <w:p w:rsidR="00A54C16" w:rsidRDefault="0020637D">
      <w:pPr>
        <w:pStyle w:val="a4"/>
        <w:numPr>
          <w:ilvl w:val="0"/>
          <w:numId w:val="1"/>
        </w:numPr>
        <w:tabs>
          <w:tab w:val="left" w:pos="2242"/>
        </w:tabs>
        <w:ind w:left="683" w:right="112" w:firstLine="851"/>
        <w:jc w:val="both"/>
        <w:rPr>
          <w:sz w:val="28"/>
        </w:rPr>
      </w:pPr>
      <w:r>
        <w:rPr>
          <w:sz w:val="28"/>
        </w:rPr>
        <w:t xml:space="preserve">Selon les députés requérants, ces dispositions méconnaissent la libre administration des collectivités territoriales en ce qu’elles augmentent le nombre de communes soumises au prélèvement dû en cas de méconnaissance de leurs obligations et en ce qu’elles </w:t>
      </w:r>
      <w:r>
        <w:rPr>
          <w:sz w:val="28"/>
        </w:rPr>
        <w:t>accroissent le montant de ce</w:t>
      </w:r>
      <w:r>
        <w:rPr>
          <w:spacing w:val="-3"/>
          <w:sz w:val="28"/>
        </w:rPr>
        <w:t xml:space="preserve"> </w:t>
      </w:r>
      <w:r>
        <w:rPr>
          <w:sz w:val="28"/>
        </w:rPr>
        <w:t>prélèvement.</w:t>
      </w:r>
    </w:p>
    <w:p w:rsidR="00A54C16" w:rsidRDefault="00A54C16">
      <w:pPr>
        <w:pStyle w:val="a3"/>
        <w:spacing w:before="3"/>
        <w:rPr>
          <w:sz w:val="31"/>
        </w:rPr>
      </w:pPr>
    </w:p>
    <w:p w:rsidR="00A54C16" w:rsidRDefault="0020637D">
      <w:pPr>
        <w:pStyle w:val="a4"/>
        <w:numPr>
          <w:ilvl w:val="0"/>
          <w:numId w:val="1"/>
        </w:numPr>
        <w:tabs>
          <w:tab w:val="left" w:pos="2242"/>
        </w:tabs>
        <w:ind w:left="683" w:right="114" w:firstLine="851"/>
        <w:jc w:val="both"/>
        <w:rPr>
          <w:sz w:val="28"/>
        </w:rPr>
      </w:pPr>
      <w:r>
        <w:rPr>
          <w:sz w:val="28"/>
        </w:rPr>
        <w:t>En premier lieu, les dispositions contestées portent de 15 % à 20 % le taux de logements locatifs sociaux existants à partir duquel sont exonérées de prélèvement les communes bénéficiant de la dotation de solidari</w:t>
      </w:r>
      <w:r>
        <w:rPr>
          <w:sz w:val="28"/>
        </w:rPr>
        <w:t>té urbaine et de cohésion sociale et tenues à un objectif de 25 % de logements locatifs sociaux. Ce faisant, elles tendent à rétablir l’égalité entre ces communes et celles bénéficiant également de cette dotation mais tenues à</w:t>
      </w:r>
      <w:r>
        <w:rPr>
          <w:spacing w:val="42"/>
          <w:sz w:val="28"/>
        </w:rPr>
        <w:t xml:space="preserve"> </w:t>
      </w:r>
      <w:r>
        <w:rPr>
          <w:sz w:val="28"/>
        </w:rPr>
        <w:t>un</w:t>
      </w:r>
      <w:r>
        <w:rPr>
          <w:spacing w:val="41"/>
          <w:sz w:val="28"/>
        </w:rPr>
        <w:t xml:space="preserve"> </w:t>
      </w:r>
      <w:r>
        <w:rPr>
          <w:sz w:val="28"/>
        </w:rPr>
        <w:t>objectif</w:t>
      </w:r>
      <w:r>
        <w:rPr>
          <w:spacing w:val="42"/>
          <w:sz w:val="28"/>
        </w:rPr>
        <w:t xml:space="preserve"> </w:t>
      </w:r>
      <w:r>
        <w:rPr>
          <w:sz w:val="28"/>
        </w:rPr>
        <w:t>de</w:t>
      </w:r>
      <w:r>
        <w:rPr>
          <w:spacing w:val="40"/>
          <w:sz w:val="28"/>
        </w:rPr>
        <w:t xml:space="preserve"> </w:t>
      </w:r>
      <w:r>
        <w:rPr>
          <w:sz w:val="28"/>
        </w:rPr>
        <w:t>20</w:t>
      </w:r>
      <w:r>
        <w:rPr>
          <w:spacing w:val="-1"/>
          <w:sz w:val="28"/>
        </w:rPr>
        <w:t xml:space="preserve"> </w:t>
      </w:r>
      <w:r>
        <w:rPr>
          <w:sz w:val="28"/>
        </w:rPr>
        <w:t>%.</w:t>
      </w:r>
      <w:r>
        <w:rPr>
          <w:spacing w:val="42"/>
          <w:sz w:val="28"/>
        </w:rPr>
        <w:t xml:space="preserve"> </w:t>
      </w:r>
      <w:r>
        <w:rPr>
          <w:sz w:val="28"/>
        </w:rPr>
        <w:t>En</w:t>
      </w:r>
      <w:r>
        <w:rPr>
          <w:spacing w:val="44"/>
          <w:sz w:val="28"/>
        </w:rPr>
        <w:t xml:space="preserve"> </w:t>
      </w:r>
      <w:r>
        <w:rPr>
          <w:sz w:val="28"/>
        </w:rPr>
        <w:t>effet</w:t>
      </w:r>
      <w:r>
        <w:rPr>
          <w:sz w:val="28"/>
        </w:rPr>
        <w:t>,</w:t>
      </w:r>
      <w:r>
        <w:rPr>
          <w:spacing w:val="42"/>
          <w:sz w:val="28"/>
        </w:rPr>
        <w:t xml:space="preserve"> </w:t>
      </w:r>
      <w:r>
        <w:rPr>
          <w:sz w:val="28"/>
        </w:rPr>
        <w:t>dès</w:t>
      </w:r>
      <w:r>
        <w:rPr>
          <w:spacing w:val="44"/>
          <w:sz w:val="28"/>
        </w:rPr>
        <w:t xml:space="preserve"> </w:t>
      </w:r>
      <w:r>
        <w:rPr>
          <w:sz w:val="28"/>
        </w:rPr>
        <w:t>lors</w:t>
      </w:r>
      <w:r>
        <w:rPr>
          <w:spacing w:val="41"/>
          <w:sz w:val="28"/>
        </w:rPr>
        <w:t xml:space="preserve"> </w:t>
      </w:r>
      <w:r>
        <w:rPr>
          <w:sz w:val="28"/>
        </w:rPr>
        <w:t>que</w:t>
      </w:r>
      <w:r>
        <w:rPr>
          <w:spacing w:val="40"/>
          <w:sz w:val="28"/>
        </w:rPr>
        <w:t xml:space="preserve"> </w:t>
      </w:r>
      <w:r>
        <w:rPr>
          <w:sz w:val="28"/>
        </w:rPr>
        <w:t>le</w:t>
      </w:r>
      <w:r>
        <w:rPr>
          <w:spacing w:val="43"/>
          <w:sz w:val="28"/>
        </w:rPr>
        <w:t xml:space="preserve"> </w:t>
      </w:r>
      <w:r>
        <w:rPr>
          <w:sz w:val="28"/>
        </w:rPr>
        <w:t>taux</w:t>
      </w:r>
      <w:r>
        <w:rPr>
          <w:spacing w:val="44"/>
          <w:sz w:val="28"/>
        </w:rPr>
        <w:t xml:space="preserve"> </w:t>
      </w:r>
      <w:r>
        <w:rPr>
          <w:sz w:val="28"/>
        </w:rPr>
        <w:t>à</w:t>
      </w:r>
      <w:r>
        <w:rPr>
          <w:spacing w:val="43"/>
          <w:sz w:val="28"/>
        </w:rPr>
        <w:t xml:space="preserve"> </w:t>
      </w:r>
      <w:r>
        <w:rPr>
          <w:sz w:val="28"/>
        </w:rPr>
        <w:t>partir</w:t>
      </w:r>
      <w:r>
        <w:rPr>
          <w:spacing w:val="40"/>
          <w:sz w:val="28"/>
        </w:rPr>
        <w:t xml:space="preserve"> </w:t>
      </w:r>
      <w:r>
        <w:rPr>
          <w:sz w:val="28"/>
        </w:rPr>
        <w:t>duquel</w:t>
      </w:r>
      <w:r>
        <w:rPr>
          <w:spacing w:val="44"/>
          <w:sz w:val="28"/>
        </w:rPr>
        <w:t xml:space="preserve"> </w:t>
      </w:r>
      <w:r>
        <w:rPr>
          <w:sz w:val="28"/>
        </w:rPr>
        <w:t>ces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1" w:right="115"/>
        <w:jc w:val="both"/>
      </w:pPr>
      <w:r>
        <w:lastRenderedPageBreak/>
        <w:t xml:space="preserve">dernières sont exonérées de prélèvement est maintenu à 15 % par la loi déférée, toutes les communes percevant la dotation de solidarité urbaine et de cohésion sociale pourront bénéficier de l’exonération à raison du </w:t>
      </w:r>
      <w:r>
        <w:rPr>
          <w:spacing w:val="-4"/>
        </w:rPr>
        <w:t>même</w:t>
      </w:r>
      <w:r>
        <w:rPr>
          <w:spacing w:val="62"/>
        </w:rPr>
        <w:t xml:space="preserve"> </w:t>
      </w:r>
      <w:r>
        <w:t>écart, égal à cinq points de pource</w:t>
      </w:r>
      <w:r>
        <w:t>ntage, entre le niveau de logements existants et l’objectif à atteindre. Les dispositions contestées répondent ainsi à une fin d’intérêt</w:t>
      </w:r>
      <w:r>
        <w:rPr>
          <w:spacing w:val="-5"/>
        </w:rPr>
        <w:t xml:space="preserve"> </w:t>
      </w:r>
      <w:r>
        <w:t>général.</w:t>
      </w:r>
    </w:p>
    <w:p w:rsidR="00A54C16" w:rsidRDefault="00A54C16">
      <w:pPr>
        <w:pStyle w:val="a3"/>
        <w:spacing w:before="3"/>
        <w:rPr>
          <w:sz w:val="31"/>
        </w:rPr>
      </w:pPr>
    </w:p>
    <w:p w:rsidR="00A54C16" w:rsidRDefault="0020637D">
      <w:pPr>
        <w:pStyle w:val="a4"/>
        <w:numPr>
          <w:ilvl w:val="0"/>
          <w:numId w:val="1"/>
        </w:numPr>
        <w:tabs>
          <w:tab w:val="left" w:pos="2240"/>
        </w:tabs>
        <w:ind w:left="682" w:right="114" w:firstLine="851"/>
        <w:jc w:val="both"/>
        <w:rPr>
          <w:sz w:val="28"/>
        </w:rPr>
      </w:pPr>
      <w:r>
        <w:rPr>
          <w:sz w:val="28"/>
        </w:rPr>
        <w:t>En second lieu, en portant de 20 % à 25 % du potentiel fiscal par habitant le montant par lequel est multipli</w:t>
      </w:r>
      <w:r>
        <w:rPr>
          <w:sz w:val="28"/>
        </w:rPr>
        <w:t xml:space="preserve">ée la différence entre le nombre de logements locatifs sociaux à atteindre et le nombre de logements locatifs sociaux existants, les dispositions contestées augmentent le montant du prélèvement sur les ressources fiscales des communes n’ayant pas respecté </w:t>
      </w:r>
      <w:r>
        <w:rPr>
          <w:sz w:val="28"/>
        </w:rPr>
        <w:t>leurs</w:t>
      </w:r>
      <w:r>
        <w:rPr>
          <w:spacing w:val="-6"/>
          <w:sz w:val="28"/>
        </w:rPr>
        <w:t xml:space="preserve"> </w:t>
      </w:r>
      <w:r>
        <w:rPr>
          <w:sz w:val="28"/>
        </w:rPr>
        <w:t>obligations.</w:t>
      </w:r>
    </w:p>
    <w:p w:rsidR="00A54C16" w:rsidRDefault="00A54C16">
      <w:pPr>
        <w:pStyle w:val="a3"/>
        <w:spacing w:before="3"/>
        <w:rPr>
          <w:sz w:val="31"/>
        </w:rPr>
      </w:pPr>
    </w:p>
    <w:p w:rsidR="00A54C16" w:rsidRDefault="0020637D">
      <w:pPr>
        <w:pStyle w:val="a4"/>
        <w:numPr>
          <w:ilvl w:val="0"/>
          <w:numId w:val="1"/>
        </w:numPr>
        <w:tabs>
          <w:tab w:val="left" w:pos="2240"/>
        </w:tabs>
        <w:ind w:left="682" w:right="114" w:firstLine="851"/>
        <w:jc w:val="both"/>
        <w:rPr>
          <w:sz w:val="28"/>
        </w:rPr>
      </w:pPr>
      <w:r>
        <w:rPr>
          <w:sz w:val="28"/>
        </w:rPr>
        <w:t>D’une part, ce prélèvement constitue une charge obligatoire pour les communes tant que celles-ci n’ont pas atteint leur objectif de disposer, selon les cas, d’au moins 20 % ou 25 % de logements locatifs sociaux. Les sommes correspondant</w:t>
      </w:r>
      <w:r>
        <w:rPr>
          <w:sz w:val="28"/>
        </w:rPr>
        <w:t xml:space="preserve"> à ce prélèvement sont affectées à des organismes intercommunaux, à des établissements publics fonciers ou au fonds national des aides à la pierre. Ce prélèvement participe ainsi d’un mécanisme de solidarité entre</w:t>
      </w:r>
      <w:r>
        <w:rPr>
          <w:spacing w:val="-5"/>
          <w:sz w:val="28"/>
        </w:rPr>
        <w:t xml:space="preserve"> </w:t>
      </w:r>
      <w:r>
        <w:rPr>
          <w:sz w:val="28"/>
        </w:rPr>
        <w:t>communes.</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2"/>
        <w:jc w:val="both"/>
        <w:rPr>
          <w:sz w:val="28"/>
        </w:rPr>
      </w:pPr>
      <w:r>
        <w:rPr>
          <w:sz w:val="28"/>
        </w:rPr>
        <w:t>D’autre part, peuvent être dédu</w:t>
      </w:r>
      <w:r>
        <w:rPr>
          <w:sz w:val="28"/>
        </w:rPr>
        <w:t>ites du montant du prélèvement certaines dépenses exposées par les communes à des fins entrant dans l’objet de la loi, dont la liste est étendue par le 3° du paragraphe I de l’article 99 de la loi déférée. En outre, dans tous les cas, le montant du prélève</w:t>
      </w:r>
      <w:r>
        <w:rPr>
          <w:sz w:val="28"/>
        </w:rPr>
        <w:t>ment ne peut excéder 5 % du montant des dépenses réelles de fonctionnement de la commune figurant dans le compte administratif établi au titre de l’avant-dernier exercice ou, pour certaines communes placées en situation de carence, 7,5 % de ce</w:t>
      </w:r>
      <w:r>
        <w:rPr>
          <w:spacing w:val="-13"/>
          <w:sz w:val="28"/>
        </w:rPr>
        <w:t xml:space="preserve"> </w:t>
      </w:r>
      <w:r>
        <w:rPr>
          <w:sz w:val="28"/>
        </w:rPr>
        <w:t>montant.</w:t>
      </w:r>
    </w:p>
    <w:p w:rsidR="00A54C16" w:rsidRDefault="00A54C16">
      <w:pPr>
        <w:pStyle w:val="a3"/>
        <w:spacing w:before="5"/>
        <w:rPr>
          <w:sz w:val="31"/>
        </w:rPr>
      </w:pPr>
    </w:p>
    <w:p w:rsidR="00A54C16" w:rsidRDefault="0020637D">
      <w:pPr>
        <w:pStyle w:val="a4"/>
        <w:numPr>
          <w:ilvl w:val="0"/>
          <w:numId w:val="1"/>
        </w:numPr>
        <w:tabs>
          <w:tab w:val="left" w:pos="2241"/>
        </w:tabs>
        <w:ind w:left="682" w:firstLine="852"/>
        <w:jc w:val="both"/>
        <w:rPr>
          <w:sz w:val="28"/>
        </w:rPr>
      </w:pPr>
      <w:r>
        <w:rPr>
          <w:sz w:val="28"/>
        </w:rPr>
        <w:t>Il résulte de ce qui précède que les dispositions contestées, qui mettent en œuvre l’objectif de mixité sociale et d’accroissement de la production de logements locatifs sociaux, répondent à des fins d’intérêt général. Elles ne sont pas manifestement inapp</w:t>
      </w:r>
      <w:r>
        <w:rPr>
          <w:sz w:val="28"/>
        </w:rPr>
        <w:t>ropriées à l’objectif visé. Le législateur, en imposant de nouvelles contraintes aux communes pour la réalisation de logements sociaux et en alourdissant les prélèvements sur les ressources de celles qui n’ont pas respecté les objectifs fixés par la loi, n</w:t>
      </w:r>
      <w:r>
        <w:rPr>
          <w:sz w:val="28"/>
        </w:rPr>
        <w:t>’a pas porté à leur libre administration une atteinte d’une gravité telle que seraient méconnus les articles 72 et 72-2 de la</w:t>
      </w:r>
      <w:r>
        <w:rPr>
          <w:spacing w:val="-10"/>
          <w:sz w:val="28"/>
        </w:rPr>
        <w:t xml:space="preserve"> </w:t>
      </w:r>
      <w:r>
        <w:rPr>
          <w:sz w:val="28"/>
        </w:rPr>
        <w:t>Constitution.</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right="114" w:firstLine="851"/>
        <w:jc w:val="both"/>
        <w:rPr>
          <w:sz w:val="28"/>
        </w:rPr>
      </w:pPr>
      <w:r>
        <w:rPr>
          <w:sz w:val="28"/>
        </w:rPr>
        <w:lastRenderedPageBreak/>
        <w:t>Par conséquent, le b du 1° et le 2° du paragraphe I de  l’article 99 de la loi déférée, qui ne méc</w:t>
      </w:r>
      <w:r>
        <w:rPr>
          <w:sz w:val="28"/>
        </w:rPr>
        <w:t>onnaissent aucune autre exigence constitutionnelle, sont conformes à la</w:t>
      </w:r>
      <w:r>
        <w:rPr>
          <w:spacing w:val="-8"/>
          <w:sz w:val="28"/>
        </w:rPr>
        <w:t xml:space="preserve"> </w:t>
      </w:r>
      <w:r>
        <w:rPr>
          <w:sz w:val="28"/>
        </w:rPr>
        <w:t>Constitution.</w:t>
      </w:r>
    </w:p>
    <w:p w:rsidR="00A54C16" w:rsidRDefault="00A54C16">
      <w:pPr>
        <w:pStyle w:val="a3"/>
        <w:spacing w:before="9"/>
        <w:rPr>
          <w:sz w:val="41"/>
        </w:rPr>
      </w:pPr>
    </w:p>
    <w:p w:rsidR="00A54C16" w:rsidRDefault="0020637D">
      <w:pPr>
        <w:pStyle w:val="a4"/>
        <w:numPr>
          <w:ilvl w:val="0"/>
          <w:numId w:val="2"/>
        </w:numPr>
        <w:tabs>
          <w:tab w:val="left" w:pos="971"/>
        </w:tabs>
        <w:ind w:left="970" w:right="0"/>
        <w:jc w:val="left"/>
        <w:rPr>
          <w:sz w:val="28"/>
        </w:rPr>
      </w:pPr>
      <w:r>
        <w:rPr>
          <w:sz w:val="28"/>
          <w:u w:val="single"/>
        </w:rPr>
        <w:t>Sur l’article 100</w:t>
      </w:r>
      <w:r>
        <w:rPr>
          <w:spacing w:val="-4"/>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firstLine="851"/>
        <w:jc w:val="both"/>
        <w:rPr>
          <w:sz w:val="28"/>
        </w:rPr>
      </w:pPr>
      <w:r>
        <w:rPr>
          <w:sz w:val="28"/>
        </w:rPr>
        <w:t>Le paragraphe I de l’article 100 de la loi déférée supprime le bénéfice de la dotation de solidarité urbaine et de cohésion sociale pour les commune</w:t>
      </w:r>
      <w:r>
        <w:rPr>
          <w:sz w:val="28"/>
        </w:rPr>
        <w:t>s qui, n’ayant pas atteint leurs objectifs de réalisation de logements locatifs sociaux, font l’objet de la procédure de carence prévue à l’article L. 302-9-1 du code de la construction et de l’habitation. Le paragraphe II prévoit la remise d’un rapport du</w:t>
      </w:r>
      <w:r>
        <w:rPr>
          <w:sz w:val="28"/>
        </w:rPr>
        <w:t xml:space="preserve"> Gouvernement au Parlement sur l’opportunité de modifier le dispositif d’aide aux communes participant à l’effort de construction de logements. Le paragraphe III dispose que la perte de recettes pour les collectivités territoriales résultant du paragraphe </w:t>
      </w:r>
      <w:r>
        <w:rPr>
          <w:sz w:val="28"/>
        </w:rPr>
        <w:t>I est « compensée à due concurrence par la majoration de la dotation globale de fonctionnement et, corrélativement pour l’État, par la création d’une taxe additionnelle aux droits mentionnés  aux articles 575   et 575 A du code général des impôts</w:t>
      </w:r>
      <w:r>
        <w:rPr>
          <w:spacing w:val="-6"/>
          <w:sz w:val="28"/>
        </w:rPr>
        <w:t xml:space="preserve"> </w:t>
      </w:r>
      <w:r>
        <w:rPr>
          <w:sz w:val="28"/>
        </w:rPr>
        <w:t>».</w:t>
      </w:r>
    </w:p>
    <w:p w:rsidR="00A54C16" w:rsidRDefault="00A54C16">
      <w:pPr>
        <w:pStyle w:val="a3"/>
        <w:spacing w:before="2"/>
        <w:rPr>
          <w:sz w:val="31"/>
        </w:rPr>
      </w:pPr>
    </w:p>
    <w:p w:rsidR="00A54C16" w:rsidRDefault="0020637D">
      <w:pPr>
        <w:pStyle w:val="a4"/>
        <w:numPr>
          <w:ilvl w:val="0"/>
          <w:numId w:val="1"/>
        </w:numPr>
        <w:tabs>
          <w:tab w:val="left" w:pos="2242"/>
        </w:tabs>
        <w:ind w:left="683" w:right="112" w:firstLine="851"/>
        <w:jc w:val="both"/>
        <w:rPr>
          <w:sz w:val="28"/>
        </w:rPr>
      </w:pPr>
      <w:r>
        <w:rPr>
          <w:sz w:val="28"/>
        </w:rPr>
        <w:t>Les s</w:t>
      </w:r>
      <w:r>
        <w:rPr>
          <w:sz w:val="28"/>
        </w:rPr>
        <w:t xml:space="preserve">énateurs requérants soutiennent qu’en privant les communes en situation de carence de la dotation de solidarité urbaine et de cohésion sociale, le paragraphe I de l’article 100 méconnaît la libre administration des collectivités territoriales. D’une part, </w:t>
      </w:r>
      <w:r>
        <w:rPr>
          <w:sz w:val="28"/>
        </w:rPr>
        <w:t xml:space="preserve">dès lors que cette dotation contribue à la péréquation en faveur des communes particulièrement exposées à des difficultés financières, sa suppression ne serait pas justifiée par un motif d’intérêt général. D’autre part, cette suppression diminuerait leurs </w:t>
      </w:r>
      <w:r>
        <w:rPr>
          <w:sz w:val="28"/>
        </w:rPr>
        <w:t>ressources au point d’entraver leur libre administration. Les députés requérants, qui formulent les mêmes griefs, soutiennent en outre que cette suppression crée une rupture d’égalité entre communes.</w:t>
      </w:r>
    </w:p>
    <w:p w:rsidR="00A54C16" w:rsidRDefault="00A54C16">
      <w:pPr>
        <w:pStyle w:val="a3"/>
        <w:spacing w:before="4"/>
        <w:rPr>
          <w:sz w:val="31"/>
        </w:rPr>
      </w:pPr>
    </w:p>
    <w:p w:rsidR="00A54C16" w:rsidRDefault="0020637D">
      <w:pPr>
        <w:pStyle w:val="a4"/>
        <w:numPr>
          <w:ilvl w:val="0"/>
          <w:numId w:val="1"/>
        </w:numPr>
        <w:tabs>
          <w:tab w:val="left" w:pos="2242"/>
        </w:tabs>
        <w:ind w:left="683" w:right="112" w:firstLine="851"/>
        <w:jc w:val="both"/>
        <w:rPr>
          <w:sz w:val="28"/>
        </w:rPr>
      </w:pPr>
      <w:r>
        <w:rPr>
          <w:sz w:val="28"/>
        </w:rPr>
        <w:t>Par ailleurs, les sénateurs requérants contestent la pr</w:t>
      </w:r>
      <w:r>
        <w:rPr>
          <w:sz w:val="28"/>
        </w:rPr>
        <w:t>océdure d’adoption du paragraphe II de l’article 100, qui aurait été introduit par amendement en nouvelle lecture en méconnaissance de l’article 45 de la Constitution.</w:t>
      </w:r>
    </w:p>
    <w:p w:rsidR="00A54C16" w:rsidRDefault="0020637D">
      <w:pPr>
        <w:pStyle w:val="a3"/>
        <w:spacing w:before="240"/>
        <w:ind w:left="1817"/>
      </w:pPr>
      <w:r>
        <w:t xml:space="preserve">. </w:t>
      </w:r>
      <w:r>
        <w:rPr>
          <w:u w:val="dotted"/>
        </w:rPr>
        <w:t>En ce qui concerne les paragraphes I et III</w:t>
      </w:r>
      <w:r>
        <w:t xml:space="preserve"> :</w:t>
      </w:r>
    </w:p>
    <w:p w:rsidR="00A54C16" w:rsidRDefault="00A54C16">
      <w:pPr>
        <w:pStyle w:val="a3"/>
        <w:spacing w:before="5"/>
        <w:rPr>
          <w:sz w:val="31"/>
        </w:rPr>
      </w:pPr>
    </w:p>
    <w:p w:rsidR="00A54C16" w:rsidRDefault="0020637D">
      <w:pPr>
        <w:pStyle w:val="a4"/>
        <w:numPr>
          <w:ilvl w:val="0"/>
          <w:numId w:val="1"/>
        </w:numPr>
        <w:tabs>
          <w:tab w:val="left" w:pos="2241"/>
        </w:tabs>
        <w:ind w:left="682" w:right="114" w:firstLine="851"/>
        <w:jc w:val="both"/>
        <w:rPr>
          <w:sz w:val="28"/>
        </w:rPr>
      </w:pPr>
      <w:r>
        <w:rPr>
          <w:sz w:val="28"/>
        </w:rPr>
        <w:t>Selon l’article L. 2334-15 du code général des collectivités territoriales, la dotation de solidarité urbaine et de cohésion sociale a pour objet</w:t>
      </w:r>
      <w:r>
        <w:rPr>
          <w:spacing w:val="22"/>
          <w:sz w:val="28"/>
        </w:rPr>
        <w:t xml:space="preserve"> </w:t>
      </w:r>
      <w:r>
        <w:rPr>
          <w:sz w:val="28"/>
        </w:rPr>
        <w:t>«</w:t>
      </w:r>
      <w:r>
        <w:rPr>
          <w:spacing w:val="-2"/>
          <w:sz w:val="28"/>
        </w:rPr>
        <w:t xml:space="preserve"> </w:t>
      </w:r>
      <w:r>
        <w:rPr>
          <w:sz w:val="28"/>
        </w:rPr>
        <w:t>de</w:t>
      </w:r>
      <w:r>
        <w:rPr>
          <w:spacing w:val="21"/>
          <w:sz w:val="28"/>
        </w:rPr>
        <w:t xml:space="preserve"> </w:t>
      </w:r>
      <w:r>
        <w:rPr>
          <w:sz w:val="28"/>
        </w:rPr>
        <w:t>contribuer</w:t>
      </w:r>
      <w:r>
        <w:rPr>
          <w:spacing w:val="22"/>
          <w:sz w:val="28"/>
        </w:rPr>
        <w:t xml:space="preserve"> </w:t>
      </w:r>
      <w:r>
        <w:rPr>
          <w:sz w:val="28"/>
        </w:rPr>
        <w:t>à</w:t>
      </w:r>
      <w:r>
        <w:rPr>
          <w:spacing w:val="21"/>
          <w:sz w:val="28"/>
        </w:rPr>
        <w:t xml:space="preserve"> </w:t>
      </w:r>
      <w:r>
        <w:rPr>
          <w:sz w:val="28"/>
        </w:rPr>
        <w:t>l’amélioration</w:t>
      </w:r>
      <w:r>
        <w:rPr>
          <w:spacing w:val="23"/>
          <w:sz w:val="28"/>
        </w:rPr>
        <w:t xml:space="preserve"> </w:t>
      </w:r>
      <w:r>
        <w:rPr>
          <w:sz w:val="28"/>
        </w:rPr>
        <w:t>des</w:t>
      </w:r>
      <w:r>
        <w:rPr>
          <w:spacing w:val="23"/>
          <w:sz w:val="28"/>
        </w:rPr>
        <w:t xml:space="preserve"> </w:t>
      </w:r>
      <w:r>
        <w:rPr>
          <w:sz w:val="28"/>
        </w:rPr>
        <w:t>conditions</w:t>
      </w:r>
      <w:r>
        <w:rPr>
          <w:spacing w:val="19"/>
          <w:sz w:val="28"/>
        </w:rPr>
        <w:t xml:space="preserve"> </w:t>
      </w:r>
      <w:r>
        <w:rPr>
          <w:sz w:val="28"/>
        </w:rPr>
        <w:t>de</w:t>
      </w:r>
      <w:r>
        <w:rPr>
          <w:spacing w:val="22"/>
          <w:sz w:val="28"/>
        </w:rPr>
        <w:t xml:space="preserve"> </w:t>
      </w:r>
      <w:r>
        <w:rPr>
          <w:sz w:val="28"/>
        </w:rPr>
        <w:t>vie</w:t>
      </w:r>
      <w:r>
        <w:rPr>
          <w:spacing w:val="21"/>
          <w:sz w:val="28"/>
        </w:rPr>
        <w:t xml:space="preserve"> </w:t>
      </w:r>
      <w:r>
        <w:rPr>
          <w:sz w:val="28"/>
        </w:rPr>
        <w:t>dans</w:t>
      </w:r>
      <w:r>
        <w:rPr>
          <w:spacing w:val="23"/>
          <w:sz w:val="28"/>
        </w:rPr>
        <w:t xml:space="preserve"> </w:t>
      </w:r>
      <w:r>
        <w:rPr>
          <w:sz w:val="28"/>
        </w:rPr>
        <w:t>les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pPr>
      <w:r>
        <w:lastRenderedPageBreak/>
        <w:t>communes urbaines confrontées à une insuffisance de leurs ressources et supportant des charges élevées ».</w:t>
      </w:r>
    </w:p>
    <w:p w:rsidR="00A54C16" w:rsidRDefault="00A54C16">
      <w:pPr>
        <w:pStyle w:val="a3"/>
        <w:spacing w:before="10"/>
        <w:rPr>
          <w:sz w:val="30"/>
        </w:rPr>
      </w:pPr>
    </w:p>
    <w:p w:rsidR="00A54C16" w:rsidRDefault="0020637D">
      <w:pPr>
        <w:pStyle w:val="a4"/>
        <w:numPr>
          <w:ilvl w:val="0"/>
          <w:numId w:val="1"/>
        </w:numPr>
        <w:tabs>
          <w:tab w:val="left" w:pos="2240"/>
        </w:tabs>
        <w:ind w:left="682" w:right="114" w:firstLine="851"/>
        <w:jc w:val="both"/>
        <w:rPr>
          <w:sz w:val="28"/>
        </w:rPr>
      </w:pPr>
      <w:r>
        <w:rPr>
          <w:sz w:val="28"/>
        </w:rPr>
        <w:t>En premier lieu, les dispositions contestées font perdre le bénéfice de cette dotation à toute commune faisant l’objet d’un arrêté de carence, quel q</w:t>
      </w:r>
      <w:r>
        <w:rPr>
          <w:sz w:val="28"/>
        </w:rPr>
        <w:t>ue soit l’écart entre le niveau de logements locatifs sociaux existants dans la commune et les objectifs auxquels elle est</w:t>
      </w:r>
      <w:r>
        <w:rPr>
          <w:spacing w:val="-14"/>
          <w:sz w:val="28"/>
        </w:rPr>
        <w:t xml:space="preserve"> </w:t>
      </w:r>
      <w:r>
        <w:rPr>
          <w:sz w:val="28"/>
        </w:rPr>
        <w:t>tenue.</w:t>
      </w:r>
    </w:p>
    <w:p w:rsidR="00A54C16" w:rsidRDefault="00A54C16">
      <w:pPr>
        <w:pStyle w:val="a3"/>
        <w:spacing w:before="1"/>
        <w:rPr>
          <w:sz w:val="31"/>
        </w:rPr>
      </w:pPr>
    </w:p>
    <w:p w:rsidR="00A54C16" w:rsidRDefault="0020637D">
      <w:pPr>
        <w:pStyle w:val="a4"/>
        <w:numPr>
          <w:ilvl w:val="0"/>
          <w:numId w:val="1"/>
        </w:numPr>
        <w:tabs>
          <w:tab w:val="left" w:pos="2240"/>
        </w:tabs>
        <w:ind w:left="682" w:right="114" w:firstLine="851"/>
        <w:jc w:val="both"/>
        <w:rPr>
          <w:sz w:val="28"/>
        </w:rPr>
      </w:pPr>
      <w:r>
        <w:rPr>
          <w:sz w:val="28"/>
        </w:rPr>
        <w:t>En deuxième lieu, ces dispositions ont également pour effet de priver les communes en cause de la possible exonération de pré</w:t>
      </w:r>
      <w:r>
        <w:rPr>
          <w:sz w:val="28"/>
        </w:rPr>
        <w:t>lèvement sur leurs ressources fiscales, prévue à la première phrase du premier alinéa de l’article L. 302-7 du code de la construction et de</w:t>
      </w:r>
      <w:r>
        <w:rPr>
          <w:spacing w:val="-16"/>
          <w:sz w:val="28"/>
        </w:rPr>
        <w:t xml:space="preserve"> </w:t>
      </w:r>
      <w:r>
        <w:rPr>
          <w:sz w:val="28"/>
        </w:rPr>
        <w:t>l’habitation.</w:t>
      </w:r>
    </w:p>
    <w:p w:rsidR="00A54C16" w:rsidRDefault="00A54C16">
      <w:pPr>
        <w:pStyle w:val="a3"/>
        <w:spacing w:before="4"/>
        <w:rPr>
          <w:sz w:val="31"/>
        </w:rPr>
      </w:pPr>
    </w:p>
    <w:p w:rsidR="00A54C16" w:rsidRDefault="0020637D">
      <w:pPr>
        <w:pStyle w:val="a4"/>
        <w:numPr>
          <w:ilvl w:val="0"/>
          <w:numId w:val="1"/>
        </w:numPr>
        <w:tabs>
          <w:tab w:val="left" w:pos="2240"/>
        </w:tabs>
        <w:spacing w:before="1"/>
        <w:ind w:left="682" w:right="115" w:firstLine="851"/>
        <w:jc w:val="both"/>
        <w:rPr>
          <w:sz w:val="28"/>
        </w:rPr>
      </w:pPr>
      <w:r>
        <w:rPr>
          <w:sz w:val="28"/>
        </w:rPr>
        <w:t>En dernier lieu, à la différence du prélèvement précité, la perte de ressources qui résulte des disp</w:t>
      </w:r>
      <w:r>
        <w:rPr>
          <w:sz w:val="28"/>
        </w:rPr>
        <w:t>ositions contestées ne fait l’objet d’aucun</w:t>
      </w:r>
      <w:r>
        <w:rPr>
          <w:spacing w:val="-3"/>
          <w:sz w:val="28"/>
        </w:rPr>
        <w:t xml:space="preserve"> </w:t>
      </w:r>
      <w:r>
        <w:rPr>
          <w:sz w:val="28"/>
        </w:rPr>
        <w:t>plafonnement.</w:t>
      </w:r>
    </w:p>
    <w:p w:rsidR="00A54C16" w:rsidRDefault="00A54C16">
      <w:pPr>
        <w:pStyle w:val="a3"/>
        <w:spacing w:before="2"/>
        <w:rPr>
          <w:sz w:val="31"/>
        </w:rPr>
      </w:pPr>
    </w:p>
    <w:p w:rsidR="00A54C16" w:rsidRDefault="0020637D">
      <w:pPr>
        <w:pStyle w:val="a4"/>
        <w:numPr>
          <w:ilvl w:val="0"/>
          <w:numId w:val="1"/>
        </w:numPr>
        <w:tabs>
          <w:tab w:val="left" w:pos="2241"/>
        </w:tabs>
        <w:ind w:left="682" w:right="114" w:firstLine="852"/>
        <w:jc w:val="both"/>
        <w:rPr>
          <w:sz w:val="28"/>
        </w:rPr>
      </w:pPr>
      <w:r>
        <w:rPr>
          <w:sz w:val="28"/>
        </w:rPr>
        <w:t>Par conséquent, dès lors qu’elles s’appliquent à des communes confrontées à une insuffisance de ressources et supportant des charges élevées, ces dispositions aboutissent à priver certaines d’entre</w:t>
      </w:r>
      <w:r>
        <w:rPr>
          <w:sz w:val="28"/>
        </w:rPr>
        <w:t xml:space="preserve"> elles d’une part substantielle de leurs recettes de fonctionnement. Il en résulte que ces dispositions restreignent les ressources de ces communes au point d’entraver leur libre administration et ainsi de méconnaître l’article 72 de la Constitution.</w:t>
      </w:r>
    </w:p>
    <w:p w:rsidR="00A54C16" w:rsidRDefault="00A54C16">
      <w:pPr>
        <w:pStyle w:val="a3"/>
        <w:spacing w:before="5"/>
        <w:rPr>
          <w:sz w:val="31"/>
        </w:rPr>
      </w:pPr>
    </w:p>
    <w:p w:rsidR="00A54C16" w:rsidRDefault="0020637D">
      <w:pPr>
        <w:pStyle w:val="a4"/>
        <w:numPr>
          <w:ilvl w:val="0"/>
          <w:numId w:val="1"/>
        </w:numPr>
        <w:tabs>
          <w:tab w:val="left" w:pos="2240"/>
        </w:tabs>
        <w:ind w:left="682" w:firstLine="851"/>
        <w:jc w:val="both"/>
        <w:rPr>
          <w:sz w:val="28"/>
        </w:rPr>
      </w:pPr>
      <w:r>
        <w:rPr>
          <w:sz w:val="28"/>
        </w:rPr>
        <w:t>Sans qu’il soit besoin d’examiner  l’autre  grief,  le paragraphe I de l’article 100 de la loi déférée est donc contraire à la Constitution. Il en va de même, par voie de conséquence, du paragraphe III, qui en est</w:t>
      </w:r>
      <w:r>
        <w:rPr>
          <w:spacing w:val="-1"/>
          <w:sz w:val="28"/>
        </w:rPr>
        <w:t xml:space="preserve"> </w:t>
      </w:r>
      <w:r>
        <w:rPr>
          <w:sz w:val="28"/>
        </w:rPr>
        <w:t>inséparable.</w:t>
      </w:r>
    </w:p>
    <w:p w:rsidR="00A54C16" w:rsidRDefault="0020637D">
      <w:pPr>
        <w:pStyle w:val="a3"/>
        <w:spacing w:before="240"/>
        <w:ind w:left="1817"/>
      </w:pPr>
      <w:r>
        <w:t xml:space="preserve">. </w:t>
      </w:r>
      <w:r>
        <w:rPr>
          <w:u w:val="dotted"/>
        </w:rPr>
        <w:t>En ce qui concerne le parag</w:t>
      </w:r>
      <w:r>
        <w:rPr>
          <w:u w:val="dotted"/>
        </w:rPr>
        <w:t>raphe I</w:t>
      </w:r>
      <w:r>
        <w:t>I :</w:t>
      </w:r>
    </w:p>
    <w:p w:rsidR="00A54C16" w:rsidRDefault="00A54C16">
      <w:pPr>
        <w:pStyle w:val="a3"/>
        <w:spacing w:before="3"/>
        <w:rPr>
          <w:sz w:val="31"/>
        </w:rPr>
      </w:pPr>
    </w:p>
    <w:p w:rsidR="00A54C16" w:rsidRDefault="0020637D">
      <w:pPr>
        <w:pStyle w:val="a4"/>
        <w:numPr>
          <w:ilvl w:val="0"/>
          <w:numId w:val="1"/>
        </w:numPr>
        <w:tabs>
          <w:tab w:val="left" w:pos="2241"/>
        </w:tabs>
        <w:ind w:firstLine="852"/>
        <w:jc w:val="both"/>
        <w:rPr>
          <w:sz w:val="28"/>
        </w:rPr>
      </w:pPr>
      <w:r>
        <w:rPr>
          <w:sz w:val="28"/>
        </w:rPr>
        <w:t>Le paragraphe II de l’article 100 de la loi déférée prévoit la remise d’un rapport du Gouvernement au Parlement sur l’opportunité de modifier le dispositif d’aide aux communes participant à l’effort de construction de logements. Introduite en n</w:t>
      </w:r>
      <w:r>
        <w:rPr>
          <w:sz w:val="28"/>
        </w:rPr>
        <w:t>ouvelle lecture, cette adjonction n’était pas, à ce stade de la procédure, en relation directe avec une disposition restant en discussion. Elle n’était pas non plus destinée à  assurer le respect de la Constitution, à opérer une coordination avec des texte</w:t>
      </w:r>
      <w:r>
        <w:rPr>
          <w:sz w:val="28"/>
        </w:rPr>
        <w:t>s en cours d’examen ou à corriger une erreur matérielle. Il s’ensuit que le paragraphe II de l’article 100 de la loi déférée, adopté selon une procédure contraire à la Constitution, lui est</w:t>
      </w:r>
      <w:r>
        <w:rPr>
          <w:spacing w:val="-10"/>
          <w:sz w:val="28"/>
        </w:rPr>
        <w:t xml:space="preserve"> </w:t>
      </w:r>
      <w:r>
        <w:rPr>
          <w:sz w:val="28"/>
        </w:rPr>
        <w:t>contraire.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2"/>
        </w:numPr>
        <w:tabs>
          <w:tab w:val="left" w:pos="971"/>
        </w:tabs>
        <w:spacing w:before="79"/>
        <w:ind w:left="970" w:right="0"/>
        <w:jc w:val="left"/>
        <w:rPr>
          <w:sz w:val="28"/>
        </w:rPr>
      </w:pPr>
      <w:r>
        <w:rPr>
          <w:sz w:val="28"/>
          <w:u w:val="single"/>
        </w:rPr>
        <w:lastRenderedPageBreak/>
        <w:t>Sur l’article 129</w:t>
      </w:r>
      <w:r>
        <w:rPr>
          <w:spacing w:val="-4"/>
          <w:sz w:val="28"/>
        </w:rPr>
        <w:t xml:space="preserve"> </w:t>
      </w:r>
      <w:r>
        <w:rPr>
          <w:sz w:val="28"/>
        </w:rPr>
        <w:t>:</w:t>
      </w:r>
    </w:p>
    <w:p w:rsidR="00A54C16" w:rsidRDefault="00A54C16">
      <w:pPr>
        <w:pStyle w:val="a3"/>
        <w:rPr>
          <w:sz w:val="35"/>
        </w:rPr>
      </w:pPr>
    </w:p>
    <w:p w:rsidR="00A54C16" w:rsidRDefault="0020637D">
      <w:pPr>
        <w:pStyle w:val="a3"/>
        <w:ind w:left="1817"/>
      </w:pPr>
      <w:r>
        <w:t xml:space="preserve">. </w:t>
      </w:r>
      <w:r>
        <w:rPr>
          <w:u w:val="dotted"/>
        </w:rPr>
        <w:t>En ce qui conc</w:t>
      </w:r>
      <w:r>
        <w:rPr>
          <w:u w:val="dotted"/>
        </w:rPr>
        <w:t>erne la place de l’article 129 dans la loi déférée</w:t>
      </w:r>
      <w:r>
        <w:t xml:space="preserve"> :</w:t>
      </w:r>
    </w:p>
    <w:p w:rsidR="00A54C16" w:rsidRDefault="00A54C16">
      <w:pPr>
        <w:pStyle w:val="a3"/>
        <w:spacing w:before="3"/>
        <w:rPr>
          <w:sz w:val="31"/>
        </w:rPr>
      </w:pPr>
    </w:p>
    <w:p w:rsidR="00A54C16" w:rsidRDefault="0020637D">
      <w:pPr>
        <w:pStyle w:val="a4"/>
        <w:numPr>
          <w:ilvl w:val="0"/>
          <w:numId w:val="1"/>
        </w:numPr>
        <w:tabs>
          <w:tab w:val="left" w:pos="2241"/>
        </w:tabs>
        <w:ind w:left="682" w:right="115" w:firstLine="851"/>
        <w:jc w:val="both"/>
        <w:rPr>
          <w:sz w:val="28"/>
        </w:rPr>
      </w:pPr>
      <w:r>
        <w:rPr>
          <w:sz w:val="28"/>
        </w:rPr>
        <w:t>Les sénateurs requérants contestent la place de l’article 129 dans la loi</w:t>
      </w:r>
      <w:r>
        <w:rPr>
          <w:spacing w:val="-5"/>
          <w:sz w:val="28"/>
        </w:rPr>
        <w:t xml:space="preserve"> </w:t>
      </w:r>
      <w:r>
        <w:rPr>
          <w:sz w:val="28"/>
        </w:rPr>
        <w:t>déférée.</w:t>
      </w:r>
    </w:p>
    <w:p w:rsidR="00A54C16" w:rsidRDefault="00A54C16">
      <w:pPr>
        <w:pStyle w:val="a3"/>
        <w:spacing w:before="3"/>
        <w:rPr>
          <w:sz w:val="31"/>
        </w:rPr>
      </w:pPr>
    </w:p>
    <w:p w:rsidR="00A54C16" w:rsidRDefault="0020637D">
      <w:pPr>
        <w:pStyle w:val="a4"/>
        <w:numPr>
          <w:ilvl w:val="0"/>
          <w:numId w:val="1"/>
        </w:numPr>
        <w:tabs>
          <w:tab w:val="left" w:pos="2241"/>
        </w:tabs>
        <w:ind w:left="682" w:right="115" w:firstLine="851"/>
        <w:jc w:val="both"/>
        <w:rPr>
          <w:sz w:val="28"/>
        </w:rPr>
      </w:pPr>
      <w:r>
        <w:rPr>
          <w:sz w:val="28"/>
        </w:rPr>
        <w:t>Aux termes de la dernière phrase du premier alinéa de l’article 45 de la Constitution : « Sans préjudice de l’application des  articles 40 et 41, tout amendement est recevable en première lecture dès lors qu’il présente un lien, même indirect, avec le text</w:t>
      </w:r>
      <w:r>
        <w:rPr>
          <w:sz w:val="28"/>
        </w:rPr>
        <w:t>e  déposé  ou  transmis</w:t>
      </w:r>
      <w:r>
        <w:rPr>
          <w:spacing w:val="-1"/>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right="112" w:firstLine="851"/>
        <w:jc w:val="both"/>
        <w:rPr>
          <w:sz w:val="28"/>
        </w:rPr>
      </w:pPr>
      <w:r>
        <w:rPr>
          <w:sz w:val="28"/>
        </w:rPr>
        <w:t xml:space="preserve">L’article 129 permet notamment l’accès aux informations du registre des syndicats des copropriétés relatives à </w:t>
      </w:r>
      <w:r>
        <w:rPr>
          <w:color w:val="2B1212"/>
          <w:sz w:val="28"/>
        </w:rPr>
        <w:t xml:space="preserve">l’existence d’une procédure de désignation d’un mandataire </w:t>
      </w:r>
      <w:r>
        <w:rPr>
          <w:i/>
          <w:color w:val="2B1212"/>
          <w:sz w:val="28"/>
        </w:rPr>
        <w:t>ad hoc</w:t>
      </w:r>
      <w:r>
        <w:rPr>
          <w:color w:val="2B1212"/>
          <w:sz w:val="28"/>
        </w:rPr>
        <w:t>, d’un administrateur provisoire ou d’un expert, ain</w:t>
      </w:r>
      <w:r>
        <w:rPr>
          <w:color w:val="2B1212"/>
          <w:sz w:val="28"/>
        </w:rPr>
        <w:t xml:space="preserve">si qu’à celles relatives à l’existence d’un arrêté ou d’une injonction en matière de salubrité ou de péril. </w:t>
      </w:r>
      <w:r>
        <w:rPr>
          <w:color w:val="2B1212"/>
          <w:spacing w:val="-3"/>
          <w:sz w:val="28"/>
        </w:rPr>
        <w:t xml:space="preserve">Ces </w:t>
      </w:r>
      <w:r>
        <w:rPr>
          <w:color w:val="2B1212"/>
          <w:sz w:val="28"/>
        </w:rPr>
        <w:t xml:space="preserve">dispositions, introduites en première lecture, </w:t>
      </w:r>
      <w:r>
        <w:rPr>
          <w:sz w:val="28"/>
        </w:rPr>
        <w:t>ne peuvent être regardées comme dépourvues de lien, même indirect, avec le projet de loi déposé s</w:t>
      </w:r>
      <w:r>
        <w:rPr>
          <w:sz w:val="28"/>
        </w:rPr>
        <w:t xml:space="preserve">ur le bureau de l’Assemblée nationale, qui comportait une habilitation du Gouvernement à prendre, par ordonnance, des mesures relatives aux copropriétés en difficulté. Le grief tiré de la méconnaissance du premier alinéa de l’article 45 de la Constitution </w:t>
      </w:r>
      <w:r>
        <w:rPr>
          <w:sz w:val="28"/>
        </w:rPr>
        <w:t>doit donc être</w:t>
      </w:r>
      <w:r>
        <w:rPr>
          <w:spacing w:val="-18"/>
          <w:sz w:val="28"/>
        </w:rPr>
        <w:t xml:space="preserve"> </w:t>
      </w:r>
      <w:r>
        <w:rPr>
          <w:sz w:val="28"/>
        </w:rPr>
        <w:t>écarté.</w:t>
      </w:r>
    </w:p>
    <w:p w:rsidR="00A54C16" w:rsidRDefault="0020637D">
      <w:pPr>
        <w:pStyle w:val="a3"/>
        <w:spacing w:before="241"/>
        <w:ind w:left="1817"/>
      </w:pPr>
      <w:r>
        <w:t xml:space="preserve">. </w:t>
      </w:r>
      <w:r>
        <w:rPr>
          <w:u w:val="dotted"/>
        </w:rPr>
        <w:t>En ce qui concerne certaines dispositions de l’article 129</w:t>
      </w:r>
      <w:r>
        <w:t xml:space="preserve"> :</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Le paragraphe II de l’article L. 711-2 du code de la construction et de l’habitation prévoit que figurent au registre d’immatriculation</w:t>
      </w:r>
      <w:r>
        <w:rPr>
          <w:spacing w:val="33"/>
          <w:sz w:val="28"/>
        </w:rPr>
        <w:t xml:space="preserve"> </w:t>
      </w:r>
      <w:r>
        <w:rPr>
          <w:sz w:val="28"/>
        </w:rPr>
        <w:t>des</w:t>
      </w:r>
      <w:r>
        <w:rPr>
          <w:spacing w:val="33"/>
          <w:sz w:val="28"/>
        </w:rPr>
        <w:t xml:space="preserve"> </w:t>
      </w:r>
      <w:r>
        <w:rPr>
          <w:sz w:val="28"/>
        </w:rPr>
        <w:t>syndicats</w:t>
      </w:r>
      <w:r>
        <w:rPr>
          <w:spacing w:val="34"/>
          <w:sz w:val="28"/>
        </w:rPr>
        <w:t xml:space="preserve"> </w:t>
      </w:r>
      <w:r>
        <w:rPr>
          <w:sz w:val="28"/>
        </w:rPr>
        <w:t>de</w:t>
      </w:r>
      <w:r>
        <w:rPr>
          <w:spacing w:val="32"/>
          <w:sz w:val="28"/>
        </w:rPr>
        <w:t xml:space="preserve"> </w:t>
      </w:r>
      <w:r>
        <w:rPr>
          <w:sz w:val="28"/>
        </w:rPr>
        <w:t>copropriétaires,</w:t>
      </w:r>
      <w:r>
        <w:rPr>
          <w:spacing w:val="32"/>
          <w:sz w:val="28"/>
        </w:rPr>
        <w:t xml:space="preserve"> </w:t>
      </w:r>
      <w:r>
        <w:rPr>
          <w:sz w:val="28"/>
        </w:rPr>
        <w:t>institué</w:t>
      </w:r>
      <w:r>
        <w:rPr>
          <w:spacing w:val="34"/>
          <w:sz w:val="28"/>
        </w:rPr>
        <w:t xml:space="preserve"> </w:t>
      </w:r>
      <w:r>
        <w:rPr>
          <w:sz w:val="28"/>
        </w:rPr>
        <w:t>à</w:t>
      </w:r>
      <w:r>
        <w:rPr>
          <w:spacing w:val="33"/>
          <w:sz w:val="28"/>
        </w:rPr>
        <w:t xml:space="preserve"> </w:t>
      </w:r>
      <w:r>
        <w:rPr>
          <w:sz w:val="28"/>
        </w:rPr>
        <w:t>l’article</w:t>
      </w:r>
    </w:p>
    <w:p w:rsidR="00A54C16" w:rsidRDefault="0020637D">
      <w:pPr>
        <w:pStyle w:val="a3"/>
        <w:ind w:left="682" w:right="112"/>
        <w:jc w:val="both"/>
      </w:pPr>
      <w:r>
        <w:t xml:space="preserve">L. 711-1 du même code, les informations suivantes : le nom, l’adresse, la date de création du syndicat, le nombre et la nature des lots qui composent la copropriété ainsi que, le cas échéant, le nom du syndic ;  </w:t>
      </w:r>
      <w:r>
        <w:rPr>
          <w:color w:val="2B1212"/>
        </w:rPr>
        <w:t>l’existence d’une proc</w:t>
      </w:r>
      <w:r>
        <w:rPr>
          <w:color w:val="2B1212"/>
        </w:rPr>
        <w:t xml:space="preserve">édure de désignation d’un mandataire </w:t>
      </w:r>
      <w:r>
        <w:rPr>
          <w:i/>
          <w:color w:val="2B1212"/>
        </w:rPr>
        <w:t>ad hoc</w:t>
      </w:r>
      <w:r>
        <w:rPr>
          <w:color w:val="2B1212"/>
        </w:rPr>
        <w:t xml:space="preserve">, d’un administrateur provisoire ou d’un expert </w:t>
      </w:r>
      <w:r>
        <w:t xml:space="preserve">; </w:t>
      </w:r>
      <w:r>
        <w:rPr>
          <w:color w:val="2B1212"/>
        </w:rPr>
        <w:t>l’existence d’un arrêté ou d’une injonction en matière de salubrité ou de</w:t>
      </w:r>
      <w:r>
        <w:rPr>
          <w:color w:val="2B1212"/>
          <w:spacing w:val="-8"/>
        </w:rPr>
        <w:t xml:space="preserve"> </w:t>
      </w:r>
      <w:r>
        <w:rPr>
          <w:color w:val="2B1212"/>
        </w:rPr>
        <w:t>péril</w:t>
      </w:r>
      <w:r>
        <w:t>.</w:t>
      </w:r>
    </w:p>
    <w:p w:rsidR="00A54C16" w:rsidRDefault="00A54C16">
      <w:pPr>
        <w:pStyle w:val="a3"/>
        <w:spacing w:before="2"/>
        <w:rPr>
          <w:sz w:val="31"/>
        </w:rPr>
      </w:pPr>
    </w:p>
    <w:p w:rsidR="00A54C16" w:rsidRDefault="0020637D">
      <w:pPr>
        <w:pStyle w:val="a4"/>
        <w:numPr>
          <w:ilvl w:val="0"/>
          <w:numId w:val="1"/>
        </w:numPr>
        <w:tabs>
          <w:tab w:val="left" w:pos="2240"/>
          <w:tab w:val="left" w:pos="2241"/>
        </w:tabs>
        <w:spacing w:line="322" w:lineRule="exact"/>
        <w:ind w:left="2240" w:right="0" w:hanging="707"/>
        <w:jc w:val="left"/>
        <w:rPr>
          <w:sz w:val="28"/>
        </w:rPr>
      </w:pPr>
      <w:r>
        <w:rPr>
          <w:sz w:val="28"/>
        </w:rPr>
        <w:t>Le</w:t>
      </w:r>
      <w:r>
        <w:rPr>
          <w:spacing w:val="53"/>
          <w:sz w:val="28"/>
        </w:rPr>
        <w:t xml:space="preserve"> </w:t>
      </w:r>
      <w:r>
        <w:rPr>
          <w:sz w:val="28"/>
        </w:rPr>
        <w:t>2°</w:t>
      </w:r>
      <w:r>
        <w:rPr>
          <w:spacing w:val="52"/>
          <w:sz w:val="28"/>
        </w:rPr>
        <w:t xml:space="preserve"> </w:t>
      </w:r>
      <w:r>
        <w:rPr>
          <w:sz w:val="28"/>
        </w:rPr>
        <w:t>de</w:t>
      </w:r>
      <w:r>
        <w:rPr>
          <w:spacing w:val="51"/>
          <w:sz w:val="28"/>
        </w:rPr>
        <w:t xml:space="preserve"> </w:t>
      </w:r>
      <w:r>
        <w:rPr>
          <w:sz w:val="28"/>
        </w:rPr>
        <w:t>l’article</w:t>
      </w:r>
      <w:r>
        <w:rPr>
          <w:spacing w:val="52"/>
          <w:sz w:val="28"/>
        </w:rPr>
        <w:t xml:space="preserve"> </w:t>
      </w:r>
      <w:r>
        <w:rPr>
          <w:sz w:val="28"/>
        </w:rPr>
        <w:t>129</w:t>
      </w:r>
      <w:r>
        <w:rPr>
          <w:spacing w:val="52"/>
          <w:sz w:val="28"/>
        </w:rPr>
        <w:t xml:space="preserve"> </w:t>
      </w:r>
      <w:r>
        <w:rPr>
          <w:sz w:val="28"/>
        </w:rPr>
        <w:t>de</w:t>
      </w:r>
      <w:r>
        <w:rPr>
          <w:spacing w:val="54"/>
          <w:sz w:val="28"/>
        </w:rPr>
        <w:t xml:space="preserve"> </w:t>
      </w:r>
      <w:r>
        <w:rPr>
          <w:sz w:val="28"/>
        </w:rPr>
        <w:t>la</w:t>
      </w:r>
      <w:r>
        <w:rPr>
          <w:spacing w:val="51"/>
          <w:sz w:val="28"/>
        </w:rPr>
        <w:t xml:space="preserve"> </w:t>
      </w:r>
      <w:r>
        <w:rPr>
          <w:sz w:val="28"/>
        </w:rPr>
        <w:t>loi</w:t>
      </w:r>
      <w:r>
        <w:rPr>
          <w:spacing w:val="53"/>
          <w:sz w:val="28"/>
        </w:rPr>
        <w:t xml:space="preserve"> </w:t>
      </w:r>
      <w:r>
        <w:rPr>
          <w:sz w:val="28"/>
        </w:rPr>
        <w:t>déférée</w:t>
      </w:r>
      <w:r>
        <w:rPr>
          <w:spacing w:val="51"/>
          <w:sz w:val="28"/>
        </w:rPr>
        <w:t xml:space="preserve"> </w:t>
      </w:r>
      <w:r>
        <w:rPr>
          <w:sz w:val="28"/>
        </w:rPr>
        <w:t>modifie</w:t>
      </w:r>
      <w:r>
        <w:rPr>
          <w:spacing w:val="52"/>
          <w:sz w:val="28"/>
        </w:rPr>
        <w:t xml:space="preserve"> </w:t>
      </w:r>
      <w:r>
        <w:rPr>
          <w:sz w:val="28"/>
        </w:rPr>
        <w:t>cet</w:t>
      </w:r>
      <w:r>
        <w:rPr>
          <w:spacing w:val="54"/>
          <w:sz w:val="28"/>
        </w:rPr>
        <w:t xml:space="preserve"> </w:t>
      </w:r>
      <w:r>
        <w:rPr>
          <w:sz w:val="28"/>
        </w:rPr>
        <w:t>article</w:t>
      </w:r>
    </w:p>
    <w:p w:rsidR="00A54C16" w:rsidRDefault="0020637D">
      <w:pPr>
        <w:pStyle w:val="a3"/>
        <w:ind w:left="682" w:right="115"/>
        <w:jc w:val="both"/>
      </w:pPr>
      <w:r>
        <w:t>L. 711-2 pour prévoir que les informations mentionnées à son paragraphe II sont portées à la connaissance du public.</w:t>
      </w:r>
    </w:p>
    <w:p w:rsidR="00A54C16" w:rsidRDefault="00A54C16">
      <w:pPr>
        <w:jc w:val="both"/>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right="116" w:firstLine="851"/>
        <w:jc w:val="both"/>
        <w:rPr>
          <w:sz w:val="28"/>
        </w:rPr>
      </w:pPr>
      <w:r>
        <w:rPr>
          <w:sz w:val="28"/>
        </w:rPr>
        <w:lastRenderedPageBreak/>
        <w:t>Les sénateurs requérants soutiennent que ces dispositions portent une atteinte disproportionnée au droit au respect de la</w:t>
      </w:r>
      <w:r>
        <w:rPr>
          <w:sz w:val="28"/>
        </w:rPr>
        <w:t xml:space="preserve"> vie privée des copropriétaires.</w:t>
      </w:r>
    </w:p>
    <w:p w:rsidR="00A54C16" w:rsidRDefault="00A54C16">
      <w:pPr>
        <w:pStyle w:val="a3"/>
        <w:spacing w:before="4"/>
        <w:rPr>
          <w:sz w:val="31"/>
        </w:rPr>
      </w:pPr>
    </w:p>
    <w:p w:rsidR="00A54C16" w:rsidRDefault="0020637D">
      <w:pPr>
        <w:pStyle w:val="a4"/>
        <w:numPr>
          <w:ilvl w:val="0"/>
          <w:numId w:val="1"/>
        </w:numPr>
        <w:tabs>
          <w:tab w:val="left" w:pos="2241"/>
        </w:tabs>
        <w:ind w:left="682" w:firstLine="707"/>
        <w:jc w:val="both"/>
        <w:rPr>
          <w:sz w:val="28"/>
        </w:rPr>
      </w:pPr>
      <w:r>
        <w:rPr>
          <w:sz w:val="28"/>
        </w:rPr>
        <w:t>Toutefois, l</w:t>
      </w:r>
      <w:r>
        <w:rPr>
          <w:color w:val="2B1212"/>
          <w:sz w:val="28"/>
        </w:rPr>
        <w:t xml:space="preserve">es informations rendues publiques sur le fondement de ces dispositions ne comportent aucune donnée personnelle relative aux copropriétaires. Par suite, </w:t>
      </w:r>
      <w:r>
        <w:rPr>
          <w:sz w:val="28"/>
        </w:rPr>
        <w:t xml:space="preserve">les dispositions contestées ne portent aucune atteinte au </w:t>
      </w:r>
      <w:r>
        <w:rPr>
          <w:sz w:val="28"/>
        </w:rPr>
        <w:t>droit au respect de la vie privée des</w:t>
      </w:r>
      <w:r>
        <w:rPr>
          <w:spacing w:val="-17"/>
          <w:sz w:val="28"/>
        </w:rPr>
        <w:t xml:space="preserve"> </w:t>
      </w:r>
      <w:r>
        <w:rPr>
          <w:sz w:val="28"/>
        </w:rPr>
        <w:t>copropriétaires.</w:t>
      </w:r>
    </w:p>
    <w:p w:rsidR="00A54C16" w:rsidRDefault="00A54C16">
      <w:pPr>
        <w:pStyle w:val="a3"/>
        <w:spacing w:before="4"/>
        <w:rPr>
          <w:sz w:val="31"/>
        </w:rPr>
      </w:pPr>
    </w:p>
    <w:p w:rsidR="00A54C16" w:rsidRDefault="0020637D">
      <w:pPr>
        <w:pStyle w:val="a4"/>
        <w:numPr>
          <w:ilvl w:val="0"/>
          <w:numId w:val="1"/>
        </w:numPr>
        <w:tabs>
          <w:tab w:val="left" w:pos="2241"/>
        </w:tabs>
        <w:ind w:left="682" w:right="115" w:firstLine="852"/>
        <w:jc w:val="both"/>
        <w:rPr>
          <w:sz w:val="28"/>
        </w:rPr>
      </w:pPr>
      <w:r>
        <w:rPr>
          <w:color w:val="2B1212"/>
          <w:sz w:val="28"/>
        </w:rPr>
        <w:t>Le 2° de l’article 129 de la loi déférée, qui ne méconnaît aucune autre exigence constitutionnelle, est conforme à la</w:t>
      </w:r>
      <w:r>
        <w:rPr>
          <w:color w:val="2B1212"/>
          <w:spacing w:val="-17"/>
          <w:sz w:val="28"/>
        </w:rPr>
        <w:t xml:space="preserve"> </w:t>
      </w:r>
      <w:r>
        <w:rPr>
          <w:color w:val="2B1212"/>
          <w:sz w:val="28"/>
        </w:rPr>
        <w:t>Constitution.</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jc w:val="left"/>
        <w:rPr>
          <w:sz w:val="28"/>
        </w:rPr>
      </w:pPr>
      <w:r>
        <w:rPr>
          <w:sz w:val="28"/>
          <w:u w:val="single"/>
        </w:rPr>
        <w:t>Sur certaines dispositions de l’article 149</w:t>
      </w:r>
      <w:r>
        <w:rPr>
          <w:spacing w:val="-12"/>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2" w:firstLine="852"/>
        <w:jc w:val="both"/>
        <w:rPr>
          <w:sz w:val="28"/>
        </w:rPr>
      </w:pPr>
      <w:r>
        <w:rPr>
          <w:sz w:val="28"/>
        </w:rPr>
        <w:t>Le 3° de l’article 149 de la loi déférée modifie l’article 3 de la loi du 5 juillet 2000 mentionnée ci-dessus. Il prévoit au paragraphe I de cet article 3 que, lorsqu’une commune ou un établissement public de coopération intercommunale n’a pas rempli les o</w:t>
      </w:r>
      <w:r>
        <w:rPr>
          <w:sz w:val="28"/>
        </w:rPr>
        <w:t xml:space="preserve">bligations mises à sa charge par le schéma départemental en matière d’aménagement, d’entretien et de gestion des aires et terrains d’accueil des gens du voyage, le préfet le met en demeure de prendre les mesures requises, lui fixe un calendrier de mise en </w:t>
      </w:r>
      <w:r>
        <w:rPr>
          <w:sz w:val="28"/>
        </w:rPr>
        <w:t>œuvre et évalue les montants des dépenses correspondantes. Si la commune ou l’établissement public ne satisfait pas à cette mise en demeure dans le délai prévu, le préfet lui ordonne de consigner entre les mains d’un comptable public les sommes corresponda</w:t>
      </w:r>
      <w:r>
        <w:rPr>
          <w:sz w:val="28"/>
        </w:rPr>
        <w:t xml:space="preserve">ntes, ces dernières étant restituées au fur et à mesure de l’exécution des mesures requises. L’opposition à cette consignation, formée devant le juge administratif, n’a pas de caractère suspensif. Le paragraphe II du même article 3 prévoit qu’une nouvelle </w:t>
      </w:r>
      <w:r>
        <w:rPr>
          <w:sz w:val="28"/>
        </w:rPr>
        <w:t>mise en demeure peut intervenir si, à l’expiration d’un délai de six mois à compter de la consignation, les mesures n’ont pas été prises ou ne l’ont été que partiellement. Si la commune ou l’établissement public n’obtempère pas dans les délais prévus par l</w:t>
      </w:r>
      <w:r>
        <w:rPr>
          <w:sz w:val="28"/>
        </w:rPr>
        <w:t>e second calendrier fixé à cette occasion, l’État s’y substitue pour procéder, pour son compte, aux opérations nécessaires, en utilisant, le cas échéant, les sommes consignées. À compter de l’achèvement des travaux, la commune ou l’établissement public dev</w:t>
      </w:r>
      <w:r>
        <w:rPr>
          <w:sz w:val="28"/>
        </w:rPr>
        <w:t>ient de plein droit propriétaire des aires ou terrains ainsi aménagés. Le paragraphe III de l’article 3 précise que les dépenses d’acquisition, d’aménagement, d’entretien et de gestion des aires et terrains d’accueil des gens du voyage constituent, pour le</w:t>
      </w:r>
      <w:r>
        <w:rPr>
          <w:sz w:val="28"/>
        </w:rPr>
        <w:t>s communes ou établissement publics de coopération intercommunale, une dépense obligatoire.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firstLine="851"/>
        <w:jc w:val="both"/>
        <w:rPr>
          <w:sz w:val="28"/>
        </w:rPr>
      </w:pPr>
      <w:r>
        <w:rPr>
          <w:sz w:val="28"/>
        </w:rPr>
        <w:lastRenderedPageBreak/>
        <w:t>Les sénateurs requérants estiment que les troisième et quatrième alinéas du 3° de l’article 149, qui prévoient la  consignation d’une partie du bu</w:t>
      </w:r>
      <w:r>
        <w:rPr>
          <w:sz w:val="28"/>
        </w:rPr>
        <w:t xml:space="preserve">dget des communes ou des établissements publics de coopération intercommunale, pour leur imposer la construction d’aires  </w:t>
      </w:r>
      <w:r>
        <w:rPr>
          <w:spacing w:val="-3"/>
          <w:sz w:val="28"/>
        </w:rPr>
        <w:t xml:space="preserve">et </w:t>
      </w:r>
      <w:r>
        <w:rPr>
          <w:sz w:val="28"/>
        </w:rPr>
        <w:t>de terrains d’accueil, portent atteinte au principe de libre administration des collectivités territoriales et à leur autonomie fin</w:t>
      </w:r>
      <w:r>
        <w:rPr>
          <w:sz w:val="28"/>
        </w:rPr>
        <w:t>ancière. Ils reprochent à ce dispositif de consignation, d’une part, de ne pas être justifié par un motif d’intérêt général et, d’autre part, de ne pas être entouré de suffisamment de garanties, notamment en raison de l’absence d’effet suspensif du recours</w:t>
      </w:r>
      <w:r>
        <w:rPr>
          <w:sz w:val="28"/>
        </w:rPr>
        <w:t xml:space="preserve"> contre l’ordre de</w:t>
      </w:r>
      <w:r>
        <w:rPr>
          <w:spacing w:val="-6"/>
          <w:sz w:val="28"/>
        </w:rPr>
        <w:t xml:space="preserve"> </w:t>
      </w:r>
      <w:r>
        <w:rPr>
          <w:sz w:val="28"/>
        </w:rPr>
        <w:t>consignation.</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firstLine="851"/>
        <w:jc w:val="both"/>
        <w:rPr>
          <w:sz w:val="28"/>
        </w:rPr>
      </w:pPr>
      <w:r>
        <w:rPr>
          <w:sz w:val="28"/>
        </w:rPr>
        <w:t xml:space="preserve">En premier lieu, lorsqu’une commune ou un établissement public de coopération intercommunale ne respecte pas ses obligations </w:t>
      </w:r>
      <w:r>
        <w:rPr>
          <w:spacing w:val="-3"/>
          <w:sz w:val="28"/>
        </w:rPr>
        <w:t xml:space="preserve">en </w:t>
      </w:r>
      <w:r>
        <w:rPr>
          <w:sz w:val="28"/>
        </w:rPr>
        <w:t>matière d’accueil des gens du voyage, l’article 3 de la loi du 5 juillet 2000 permet au préfet</w:t>
      </w:r>
      <w:r>
        <w:rPr>
          <w:sz w:val="28"/>
        </w:rPr>
        <w:t xml:space="preserve"> de s’y substituer afin de mettre en œuvre les mesures nécessaires. Le pouvoir de consignation conféré au préfet par le deuxième alinéa du paragraphe I de ce même article vise, d’une part, à inciter la commune ou l’établissement public en cause à mettre lu</w:t>
      </w:r>
      <w:r>
        <w:rPr>
          <w:sz w:val="28"/>
        </w:rPr>
        <w:t xml:space="preserve">i-même en œuvre ces mesures, en réservant la disponibilité des sommes consignées à cette mise en œuvre. D’autre part, en autorisant le préfet à payer, au moyen des sommes consignées, les opérations auxquelles il procède en substitution de la commune ou de </w:t>
      </w:r>
      <w:r>
        <w:rPr>
          <w:sz w:val="28"/>
        </w:rPr>
        <w:t>l’établissement public, les dispositions contestées lui permettent de remédier à la carence de la collectivité</w:t>
      </w:r>
      <w:r>
        <w:rPr>
          <w:spacing w:val="-16"/>
          <w:sz w:val="28"/>
        </w:rPr>
        <w:t xml:space="preserve"> </w:t>
      </w:r>
      <w:r>
        <w:rPr>
          <w:sz w:val="28"/>
        </w:rPr>
        <w:t>territoriale.</w:t>
      </w:r>
    </w:p>
    <w:p w:rsidR="00A54C16" w:rsidRDefault="00A54C16">
      <w:pPr>
        <w:pStyle w:val="a3"/>
        <w:spacing w:before="2"/>
        <w:rPr>
          <w:sz w:val="31"/>
        </w:rPr>
      </w:pPr>
    </w:p>
    <w:p w:rsidR="00A54C16" w:rsidRDefault="0020637D">
      <w:pPr>
        <w:pStyle w:val="a4"/>
        <w:numPr>
          <w:ilvl w:val="0"/>
          <w:numId w:val="1"/>
        </w:numPr>
        <w:tabs>
          <w:tab w:val="left" w:pos="2241"/>
        </w:tabs>
        <w:spacing w:before="1"/>
        <w:ind w:left="683" w:firstLine="851"/>
        <w:jc w:val="both"/>
        <w:rPr>
          <w:sz w:val="28"/>
        </w:rPr>
      </w:pPr>
      <w:r>
        <w:rPr>
          <w:sz w:val="28"/>
        </w:rPr>
        <w:t>En deuxième lieu, l’objet et la portée de la compétence ainsi conférée au préfet sont précisément définis et en adéquation avec l’</w:t>
      </w:r>
      <w:r>
        <w:rPr>
          <w:sz w:val="28"/>
        </w:rPr>
        <w:t>objectif poursuivi.</w:t>
      </w:r>
    </w:p>
    <w:p w:rsidR="00A54C16" w:rsidRDefault="00A54C16">
      <w:pPr>
        <w:pStyle w:val="a3"/>
        <w:spacing w:before="2"/>
        <w:rPr>
          <w:sz w:val="31"/>
        </w:rPr>
      </w:pPr>
    </w:p>
    <w:p w:rsidR="00A54C16" w:rsidRDefault="0020637D">
      <w:pPr>
        <w:pStyle w:val="a4"/>
        <w:numPr>
          <w:ilvl w:val="0"/>
          <w:numId w:val="1"/>
        </w:numPr>
        <w:tabs>
          <w:tab w:val="left" w:pos="2241"/>
        </w:tabs>
        <w:ind w:left="682" w:firstLine="852"/>
        <w:jc w:val="both"/>
        <w:rPr>
          <w:sz w:val="28"/>
        </w:rPr>
      </w:pPr>
      <w:r>
        <w:rPr>
          <w:sz w:val="28"/>
        </w:rPr>
        <w:t>En dernier lieu, d’une part, l’ordre de consignation est pris après mise en demeure de la commune ou de l’établissement public de se conformer à ses obligations selon un calendrier déterminé. D’autre part, le montant des sommes consignées ne peut excéder c</w:t>
      </w:r>
      <w:r>
        <w:rPr>
          <w:sz w:val="28"/>
        </w:rPr>
        <w:t xml:space="preserve">elui des dépenses correspondant aux mesures requises pour satisfaire les obligations définies par le schéma départemental. Enfin, l’ordre de consignation peut faire l’objet d’un recours juridictionnel. Le législateur, auquel il était par ailleurs loisible </w:t>
      </w:r>
      <w:r>
        <w:rPr>
          <w:sz w:val="28"/>
        </w:rPr>
        <w:t>de prévoir que le recours contre l’ordre de consignation ne serait pas suspensif, a ainsi assorti la procédure de consignation qu’il a instaurée de garanties</w:t>
      </w:r>
      <w:r>
        <w:rPr>
          <w:spacing w:val="-2"/>
          <w:sz w:val="28"/>
        </w:rPr>
        <w:t xml:space="preserve"> </w:t>
      </w:r>
      <w:r>
        <w:rPr>
          <w:sz w:val="28"/>
        </w:rPr>
        <w:t>suffisantes.</w:t>
      </w:r>
    </w:p>
    <w:p w:rsidR="00A54C16" w:rsidRDefault="00A54C16">
      <w:pPr>
        <w:pStyle w:val="a3"/>
        <w:spacing w:before="4"/>
        <w:rPr>
          <w:sz w:val="31"/>
        </w:rPr>
      </w:pPr>
    </w:p>
    <w:p w:rsidR="00A54C16" w:rsidRDefault="0020637D">
      <w:pPr>
        <w:pStyle w:val="a4"/>
        <w:numPr>
          <w:ilvl w:val="0"/>
          <w:numId w:val="1"/>
        </w:numPr>
        <w:tabs>
          <w:tab w:val="left" w:pos="2241"/>
        </w:tabs>
        <w:ind w:left="683" w:firstLine="851"/>
        <w:jc w:val="both"/>
        <w:rPr>
          <w:sz w:val="28"/>
        </w:rPr>
      </w:pPr>
      <w:r>
        <w:rPr>
          <w:sz w:val="28"/>
        </w:rPr>
        <w:t>Il résulte de tout ce qui précède qu’en adoptant les dispositions contestées, le législateur n’a ni porté une atteinte disproportionnée à la libre administration des collectivités territoriales ni méconnu aucune autre exigence constitutionnelle. Les troisi</w:t>
      </w:r>
      <w:r>
        <w:rPr>
          <w:sz w:val="28"/>
        </w:rPr>
        <w:t>ème</w:t>
      </w:r>
      <w:r>
        <w:rPr>
          <w:spacing w:val="50"/>
          <w:sz w:val="28"/>
        </w:rPr>
        <w:t xml:space="preserve"> </w:t>
      </w:r>
      <w:r>
        <w:rPr>
          <w:sz w:val="28"/>
        </w:rPr>
        <w:t>et</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right="113" w:hanging="1"/>
      </w:pPr>
      <w:r>
        <w:lastRenderedPageBreak/>
        <w:t>quatrième alinéas du 3° de l’article 149 de la loi déférée sont donc conformes à la Constitution.</w:t>
      </w:r>
    </w:p>
    <w:p w:rsidR="00A54C16" w:rsidRDefault="00A54C16">
      <w:pPr>
        <w:pStyle w:val="a3"/>
        <w:spacing w:before="3"/>
        <w:rPr>
          <w:sz w:val="41"/>
        </w:rPr>
      </w:pPr>
    </w:p>
    <w:p w:rsidR="00A54C16" w:rsidRDefault="0020637D">
      <w:pPr>
        <w:pStyle w:val="a4"/>
        <w:numPr>
          <w:ilvl w:val="0"/>
          <w:numId w:val="2"/>
        </w:numPr>
        <w:tabs>
          <w:tab w:val="left" w:pos="971"/>
        </w:tabs>
        <w:ind w:firstLine="0"/>
        <w:jc w:val="left"/>
        <w:rPr>
          <w:sz w:val="28"/>
        </w:rPr>
      </w:pPr>
      <w:r>
        <w:rPr>
          <w:sz w:val="28"/>
          <w:u w:val="single"/>
        </w:rPr>
        <w:t>Sur certaines dispositions des 1°, 2° et  3°  du  paragraphe  II  de</w:t>
      </w:r>
      <w:r>
        <w:rPr>
          <w:sz w:val="28"/>
        </w:rPr>
        <w:t xml:space="preserve">  </w:t>
      </w:r>
      <w:r>
        <w:rPr>
          <w:sz w:val="28"/>
          <w:u w:val="single"/>
        </w:rPr>
        <w:t>l’article 170 et sur l’article 207</w:t>
      </w:r>
      <w:r>
        <w:rPr>
          <w:spacing w:val="-10"/>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2"/>
        <w:jc w:val="both"/>
        <w:rPr>
          <w:sz w:val="28"/>
        </w:rPr>
      </w:pPr>
      <w:r>
        <w:rPr>
          <w:sz w:val="28"/>
        </w:rPr>
        <w:t xml:space="preserve">Les a du 1° et du 2° et </w:t>
      </w:r>
      <w:r>
        <w:rPr>
          <w:sz w:val="28"/>
        </w:rPr>
        <w:t>le c du 3° du paragraphe  II  de l’article 170 de la loi déférée modifient respectivement les articles 24, 32 et 33 de la loi du 29 juillet 1881 mentionnée ci-dessus afin de réprimer de manière aggravée la provocation à la discrimination, à la haine ou à l</w:t>
      </w:r>
      <w:r>
        <w:rPr>
          <w:sz w:val="28"/>
        </w:rPr>
        <w:t>a violence, la diffamation et l’injure publique lorsque ces infractions sont commises à l’égard d’une personne ou d’un groupe de personnes à raison de leur identité de</w:t>
      </w:r>
      <w:r>
        <w:rPr>
          <w:spacing w:val="-8"/>
          <w:sz w:val="28"/>
        </w:rPr>
        <w:t xml:space="preserve"> </w:t>
      </w:r>
      <w:r>
        <w:rPr>
          <w:sz w:val="28"/>
        </w:rPr>
        <w:t>genre.</w:t>
      </w:r>
    </w:p>
    <w:p w:rsidR="00A54C16" w:rsidRDefault="00A54C16">
      <w:pPr>
        <w:pStyle w:val="a3"/>
        <w:spacing w:before="3"/>
        <w:rPr>
          <w:sz w:val="31"/>
        </w:rPr>
      </w:pPr>
    </w:p>
    <w:p w:rsidR="00A54C16" w:rsidRDefault="0020637D">
      <w:pPr>
        <w:pStyle w:val="a4"/>
        <w:numPr>
          <w:ilvl w:val="0"/>
          <w:numId w:val="1"/>
        </w:numPr>
        <w:tabs>
          <w:tab w:val="left" w:pos="2240"/>
        </w:tabs>
        <w:ind w:left="682" w:right="114" w:firstLine="851"/>
        <w:jc w:val="both"/>
        <w:rPr>
          <w:sz w:val="28"/>
        </w:rPr>
      </w:pPr>
      <w:r>
        <w:rPr>
          <w:sz w:val="28"/>
        </w:rPr>
        <w:t>Par coordination, l’article 207 de la loi déférée introduit la référence à l’ide</w:t>
      </w:r>
      <w:r>
        <w:rPr>
          <w:sz w:val="28"/>
        </w:rPr>
        <w:t>ntité de genre dans diverses dispositions</w:t>
      </w:r>
      <w:r>
        <w:rPr>
          <w:spacing w:val="-16"/>
          <w:sz w:val="28"/>
        </w:rPr>
        <w:t xml:space="preserve"> </w:t>
      </w:r>
      <w:r>
        <w:rPr>
          <w:sz w:val="28"/>
        </w:rPr>
        <w:t>législatives.</w:t>
      </w:r>
    </w:p>
    <w:p w:rsidR="00A54C16" w:rsidRDefault="00A54C16">
      <w:pPr>
        <w:pStyle w:val="a3"/>
        <w:spacing w:before="2"/>
        <w:rPr>
          <w:sz w:val="31"/>
        </w:rPr>
      </w:pPr>
    </w:p>
    <w:p w:rsidR="00A54C16" w:rsidRDefault="0020637D">
      <w:pPr>
        <w:pStyle w:val="a4"/>
        <w:numPr>
          <w:ilvl w:val="0"/>
          <w:numId w:val="1"/>
        </w:numPr>
        <w:tabs>
          <w:tab w:val="left" w:pos="2240"/>
        </w:tabs>
        <w:spacing w:before="1"/>
        <w:ind w:left="682" w:right="114" w:firstLine="851"/>
        <w:jc w:val="both"/>
        <w:rPr>
          <w:sz w:val="28"/>
        </w:rPr>
      </w:pPr>
      <w:r>
        <w:rPr>
          <w:sz w:val="28"/>
        </w:rPr>
        <w:t>Les sénateurs requérants soutiennent que les a du 1° et du 2° et le c du 3° du paragraphe II de l’article 170 contreviennent au principe de légalité des délits et des peines dans la mesure où la notion d’identité de genre, qui ferait l’objet de controverse</w:t>
      </w:r>
      <w:r>
        <w:rPr>
          <w:sz w:val="28"/>
        </w:rPr>
        <w:t>s, est imprécise. Par voie de conséquence, il y aurait également lieu de déclarer l’article 207 contraire à la</w:t>
      </w:r>
      <w:r>
        <w:rPr>
          <w:spacing w:val="-2"/>
          <w:sz w:val="28"/>
        </w:rPr>
        <w:t xml:space="preserve"> </w:t>
      </w:r>
      <w:r>
        <w:rPr>
          <w:sz w:val="28"/>
        </w:rPr>
        <w:t>Constitution.</w:t>
      </w:r>
    </w:p>
    <w:p w:rsidR="00A54C16" w:rsidRDefault="00A54C16">
      <w:pPr>
        <w:pStyle w:val="a3"/>
        <w:spacing w:before="3"/>
        <w:rPr>
          <w:sz w:val="31"/>
        </w:rPr>
      </w:pPr>
    </w:p>
    <w:p w:rsidR="00A54C16" w:rsidRDefault="0020637D">
      <w:pPr>
        <w:pStyle w:val="a4"/>
        <w:numPr>
          <w:ilvl w:val="0"/>
          <w:numId w:val="1"/>
        </w:numPr>
        <w:tabs>
          <w:tab w:val="left" w:pos="2241"/>
        </w:tabs>
        <w:ind w:right="114" w:firstLine="852"/>
        <w:jc w:val="both"/>
        <w:rPr>
          <w:sz w:val="28"/>
        </w:rPr>
      </w:pPr>
      <w:r>
        <w:rPr>
          <w:sz w:val="28"/>
        </w:rPr>
        <w:t xml:space="preserve">L’article 8 de la Déclaration de 1789 dispose : « La loi ne doit établir que des peines strictement et évidemment nécessaires, et </w:t>
      </w:r>
      <w:r>
        <w:rPr>
          <w:sz w:val="28"/>
        </w:rPr>
        <w:t>nul ne peut être puni qu’en vertu d’une loi établie et promulguée antérieurement au délit, et légalement appliquée ». Aux termes de l’article 34 de la Constitution : « La loi fixe les règles concernant... la détermination des crimes et délits ainsi que les</w:t>
      </w:r>
      <w:r>
        <w:rPr>
          <w:sz w:val="28"/>
        </w:rPr>
        <w:t xml:space="preserve"> peines qui leur sont applicables ». Le législateur tient de l’article 34 de la Constitution, ainsi que du principe de légalité des délits et des peines qui résulte de l’article 8 de la Déclaration de 1789, l’obligation de fixer lui-même le champ d’applica</w:t>
      </w:r>
      <w:r>
        <w:rPr>
          <w:sz w:val="28"/>
        </w:rPr>
        <w:t>tion de la loi pénale et de définir les crimes et délits en termes suffisamment clairs et précis  pour exclure</w:t>
      </w:r>
      <w:r>
        <w:rPr>
          <w:spacing w:val="-3"/>
          <w:sz w:val="28"/>
        </w:rPr>
        <w:t xml:space="preserve"> </w:t>
      </w:r>
      <w:r>
        <w:rPr>
          <w:sz w:val="28"/>
        </w:rPr>
        <w:t>l’arbitraire.</w:t>
      </w:r>
    </w:p>
    <w:p w:rsidR="00A54C16" w:rsidRDefault="00A54C16">
      <w:pPr>
        <w:pStyle w:val="a3"/>
        <w:spacing w:before="3"/>
        <w:rPr>
          <w:sz w:val="31"/>
        </w:rPr>
      </w:pPr>
    </w:p>
    <w:p w:rsidR="00A54C16" w:rsidRDefault="0020637D">
      <w:pPr>
        <w:pStyle w:val="a4"/>
        <w:numPr>
          <w:ilvl w:val="0"/>
          <w:numId w:val="1"/>
        </w:numPr>
        <w:tabs>
          <w:tab w:val="left" w:pos="2240"/>
        </w:tabs>
        <w:ind w:left="682" w:firstLine="851"/>
        <w:jc w:val="both"/>
        <w:rPr>
          <w:sz w:val="28"/>
        </w:rPr>
      </w:pPr>
      <w:bookmarkStart w:id="2" w:name="_bookmark0"/>
      <w:bookmarkEnd w:id="2"/>
      <w:r>
        <w:rPr>
          <w:sz w:val="28"/>
        </w:rPr>
        <w:t>Les dispositions contestées substituent, dans les articles 24, 32 et 33 de la loi du 29 juillet 1881, les termes d’« identité de g</w:t>
      </w:r>
      <w:r>
        <w:rPr>
          <w:sz w:val="28"/>
        </w:rPr>
        <w:t>enre » à ceux d’« identité sexuelle ». Elles ajoutent ainsi à l’interdiction des discriminations liées au sexe et à l’orientation sexuelle celles liées à l’identité de genre. Il résulte des travaux parlementaires qu’en ayant  recours</w:t>
      </w:r>
      <w:r>
        <w:rPr>
          <w:spacing w:val="54"/>
          <w:sz w:val="28"/>
        </w:rPr>
        <w:t xml:space="preserve"> </w:t>
      </w:r>
      <w:r>
        <w:rPr>
          <w:sz w:val="28"/>
        </w:rPr>
        <w:t>à</w:t>
      </w:r>
      <w:r>
        <w:rPr>
          <w:spacing w:val="51"/>
          <w:sz w:val="28"/>
        </w:rPr>
        <w:t xml:space="preserve"> </w:t>
      </w:r>
      <w:r>
        <w:rPr>
          <w:sz w:val="28"/>
        </w:rPr>
        <w:t>la</w:t>
      </w:r>
      <w:r>
        <w:rPr>
          <w:spacing w:val="52"/>
          <w:sz w:val="28"/>
        </w:rPr>
        <w:t xml:space="preserve"> </w:t>
      </w:r>
      <w:r>
        <w:rPr>
          <w:sz w:val="28"/>
        </w:rPr>
        <w:t>notion</w:t>
      </w:r>
      <w:r>
        <w:rPr>
          <w:spacing w:val="52"/>
          <w:sz w:val="28"/>
        </w:rPr>
        <w:t xml:space="preserve"> </w:t>
      </w:r>
      <w:r>
        <w:rPr>
          <w:sz w:val="28"/>
        </w:rPr>
        <w:t>d’identité</w:t>
      </w:r>
      <w:r>
        <w:rPr>
          <w:spacing w:val="51"/>
          <w:sz w:val="28"/>
        </w:rPr>
        <w:t xml:space="preserve"> </w:t>
      </w:r>
      <w:r>
        <w:rPr>
          <w:sz w:val="28"/>
        </w:rPr>
        <w:t>de</w:t>
      </w:r>
      <w:r>
        <w:rPr>
          <w:spacing w:val="52"/>
          <w:sz w:val="28"/>
        </w:rPr>
        <w:t xml:space="preserve"> </w:t>
      </w:r>
      <w:r>
        <w:rPr>
          <w:sz w:val="28"/>
        </w:rPr>
        <w:t>genre,</w:t>
      </w:r>
      <w:r>
        <w:rPr>
          <w:spacing w:val="50"/>
          <w:sz w:val="28"/>
        </w:rPr>
        <w:t xml:space="preserve"> </w:t>
      </w:r>
      <w:r>
        <w:rPr>
          <w:sz w:val="28"/>
        </w:rPr>
        <w:t>le</w:t>
      </w:r>
      <w:r>
        <w:rPr>
          <w:spacing w:val="51"/>
          <w:sz w:val="28"/>
        </w:rPr>
        <w:t xml:space="preserve"> </w:t>
      </w:r>
      <w:r>
        <w:rPr>
          <w:sz w:val="28"/>
        </w:rPr>
        <w:t>législateur</w:t>
      </w:r>
      <w:r>
        <w:rPr>
          <w:spacing w:val="52"/>
          <w:sz w:val="28"/>
        </w:rPr>
        <w:t xml:space="preserve"> </w:t>
      </w:r>
      <w:r>
        <w:rPr>
          <w:sz w:val="28"/>
        </w:rPr>
        <w:t>a</w:t>
      </w:r>
      <w:r>
        <w:rPr>
          <w:spacing w:val="51"/>
          <w:sz w:val="28"/>
        </w:rPr>
        <w:t xml:space="preserve"> </w:t>
      </w:r>
      <w:r>
        <w:rPr>
          <w:sz w:val="28"/>
        </w:rPr>
        <w:t>entendu</w:t>
      </w:r>
      <w:r>
        <w:rPr>
          <w:spacing w:val="52"/>
          <w:sz w:val="28"/>
        </w:rPr>
        <w:t xml:space="preserve"> </w:t>
      </w:r>
      <w:r>
        <w:rPr>
          <w:sz w:val="28"/>
        </w:rPr>
        <w:t>viser</w:t>
      </w:r>
      <w:r>
        <w:rPr>
          <w:spacing w:val="52"/>
          <w:sz w:val="28"/>
        </w:rPr>
        <w:t xml:space="preserve"> </w:t>
      </w:r>
      <w:r>
        <w:rPr>
          <w:sz w:val="28"/>
        </w:rPr>
        <w:t>le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2" w:hanging="1"/>
        <w:jc w:val="both"/>
      </w:pPr>
      <w:r>
        <w:lastRenderedPageBreak/>
        <w:t>genre auquel s’identifie une personne, qu’il corresponde ou non au sexe indiqué sur les registres de l’état-civil ou aux différentes expressions de l’appartenance au sexe masculin ou au sexe fé</w:t>
      </w:r>
      <w:r>
        <w:t>minin. Les termes « identité de genre », qui figurent d’ailleurs à l’article 225-1 du code pénal dans sa version issue de la loi du 18 novembre 2016 mentionnée ci-dessus, sont également utilisés dans la convention du  Conseil  de  l’Europe  du  12  avril 2</w:t>
      </w:r>
      <w:r>
        <w:t>011 et dans la directive du 13 décembre 2011 mentionnées ci-dessus. Dans ces conditions, les termes d’« identité de genre » utilisés par le législateur sont suffisamment clairs et précis pour respecter le principe de légalité. Le grief tiré de la méconnais</w:t>
      </w:r>
      <w:r>
        <w:t>sance du principe de légalité des délits et des peines doit être</w:t>
      </w:r>
      <w:r>
        <w:rPr>
          <w:spacing w:val="-6"/>
        </w:rPr>
        <w:t xml:space="preserve"> </w:t>
      </w:r>
      <w:r>
        <w:t>écarté.</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Les a du 1° et du 2° et le c du 3° du paragraphe  II  de l’article 170 et l’article 207, qui ne méconnaissent aucune autre exigence constitutionnelle, sont donc conformes à la</w:t>
      </w:r>
      <w:r>
        <w:rPr>
          <w:spacing w:val="-12"/>
          <w:sz w:val="28"/>
        </w:rPr>
        <w:t xml:space="preserve"> </w:t>
      </w:r>
      <w:r>
        <w:rPr>
          <w:sz w:val="28"/>
        </w:rPr>
        <w:t>Constitution.</w:t>
      </w:r>
    </w:p>
    <w:p w:rsidR="00A54C16" w:rsidRDefault="00A54C16">
      <w:pPr>
        <w:pStyle w:val="a3"/>
        <w:spacing w:before="10"/>
        <w:rPr>
          <w:sz w:val="41"/>
        </w:rPr>
      </w:pPr>
    </w:p>
    <w:p w:rsidR="00A54C16" w:rsidRDefault="0020637D">
      <w:pPr>
        <w:pStyle w:val="a4"/>
        <w:numPr>
          <w:ilvl w:val="0"/>
          <w:numId w:val="2"/>
        </w:numPr>
        <w:tabs>
          <w:tab w:val="left" w:pos="971"/>
        </w:tabs>
        <w:spacing w:before="1"/>
        <w:ind w:left="970" w:right="0"/>
        <w:rPr>
          <w:sz w:val="28"/>
        </w:rPr>
      </w:pPr>
      <w:r>
        <w:rPr>
          <w:sz w:val="28"/>
          <w:u w:val="single"/>
        </w:rPr>
        <w:t>Sur le 7° du paragraphe II de l’article 170</w:t>
      </w:r>
      <w:r>
        <w:rPr>
          <w:spacing w:val="-10"/>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2"/>
        <w:jc w:val="both"/>
        <w:rPr>
          <w:sz w:val="28"/>
        </w:rPr>
      </w:pPr>
      <w:r>
        <w:rPr>
          <w:sz w:val="28"/>
        </w:rPr>
        <w:t>Le 7° du paragraphe II de l’article 170 de la loi déférée insère après l’article 54 de la loi du 29 juillet 1881 un article 54-1. Cet article autorise la juridiction pénale saisie de poursuites pour des faits qualifiés soit de provocation à la discriminati</w:t>
      </w:r>
      <w:r>
        <w:rPr>
          <w:sz w:val="28"/>
        </w:rPr>
        <w:t xml:space="preserve">on, à la haine ou à la violence, soit de diffamation soit d’injure publiques, lorsqu’ils sont commis en raison de l’ethnie, de la race, de la nation ou de la religion, à requalifier l’infraction sur le fondement de l’une des deux autres qualifications. Il </w:t>
      </w:r>
      <w:r>
        <w:rPr>
          <w:sz w:val="28"/>
        </w:rPr>
        <w:t>en est de même en cas de poursuites pour des faits de provocation à la discrimination, à la haine ou à la violence, de diffamation ou d’injure publiques, en raison du sexe, de l’orientation sexuelle ou de l’identité de</w:t>
      </w:r>
      <w:r>
        <w:rPr>
          <w:spacing w:val="-15"/>
          <w:sz w:val="28"/>
        </w:rPr>
        <w:t xml:space="preserve"> </w:t>
      </w:r>
      <w:r>
        <w:rPr>
          <w:sz w:val="28"/>
        </w:rPr>
        <w:t>genre.</w:t>
      </w:r>
    </w:p>
    <w:p w:rsidR="00A54C16" w:rsidRDefault="00A54C16">
      <w:pPr>
        <w:pStyle w:val="a3"/>
        <w:spacing w:before="1"/>
        <w:rPr>
          <w:sz w:val="31"/>
        </w:rPr>
      </w:pPr>
    </w:p>
    <w:p w:rsidR="00A54C16" w:rsidRDefault="0020637D">
      <w:pPr>
        <w:pStyle w:val="a4"/>
        <w:numPr>
          <w:ilvl w:val="0"/>
          <w:numId w:val="1"/>
        </w:numPr>
        <w:tabs>
          <w:tab w:val="left" w:pos="2241"/>
        </w:tabs>
        <w:ind w:left="682" w:right="114" w:firstLine="851"/>
        <w:jc w:val="both"/>
        <w:rPr>
          <w:sz w:val="28"/>
        </w:rPr>
      </w:pPr>
      <w:r>
        <w:rPr>
          <w:sz w:val="28"/>
        </w:rPr>
        <w:t>Les sénateurs requérants cont</w:t>
      </w:r>
      <w:r>
        <w:rPr>
          <w:sz w:val="28"/>
        </w:rPr>
        <w:t>estent les dispositions du 7° du paragraphe II de l’article 170. Ils estiment qu’elles méconnaissent le principe d’égalité devant la procédure pénale en ce qu’elles ne s’appliquent ni à la diffamation ou à l’injure publiques non aggravées ni à la provocati</w:t>
      </w:r>
      <w:r>
        <w:rPr>
          <w:sz w:val="28"/>
        </w:rPr>
        <w:t>on à commettre des atteintes aux personnes ou aux</w:t>
      </w:r>
      <w:r>
        <w:rPr>
          <w:spacing w:val="-8"/>
          <w:sz w:val="28"/>
        </w:rPr>
        <w:t xml:space="preserve"> </w:t>
      </w:r>
      <w:r>
        <w:rPr>
          <w:sz w:val="28"/>
        </w:rPr>
        <w:t>biens.</w:t>
      </w:r>
    </w:p>
    <w:p w:rsidR="00A54C16" w:rsidRDefault="00A54C16">
      <w:pPr>
        <w:pStyle w:val="a3"/>
        <w:spacing w:before="4"/>
        <w:rPr>
          <w:sz w:val="31"/>
        </w:rPr>
      </w:pPr>
    </w:p>
    <w:p w:rsidR="00A54C16" w:rsidRDefault="0020637D">
      <w:pPr>
        <w:pStyle w:val="a4"/>
        <w:numPr>
          <w:ilvl w:val="0"/>
          <w:numId w:val="1"/>
        </w:numPr>
        <w:tabs>
          <w:tab w:val="left" w:pos="2241"/>
        </w:tabs>
        <w:ind w:left="683" w:right="112" w:firstLine="851"/>
        <w:jc w:val="both"/>
        <w:rPr>
          <w:sz w:val="28"/>
        </w:rPr>
      </w:pPr>
      <w:r>
        <w:rPr>
          <w:sz w:val="28"/>
        </w:rPr>
        <w:t xml:space="preserve">L’article 6 de la Déclaration de 1789 dispose que la loi « doit être la même pour tous, soit qu’elle protège, soit qu’elle punisse ». Il est loisible au législateur, compétent pour fixer les règles </w:t>
      </w:r>
      <w:r>
        <w:rPr>
          <w:sz w:val="28"/>
        </w:rPr>
        <w:t>de la procédure pénale en vertu de l’article 34 de la Constitution, de prévoir des règles de procédure différentes selon les faits, les situations et les personnes auxquelles elles s’appliquent, à la condition que ces différences ne procèdent pas de discri</w:t>
      </w:r>
      <w:r>
        <w:rPr>
          <w:sz w:val="28"/>
        </w:rPr>
        <w:t>minations injustifiées et que soient assurées</w:t>
      </w:r>
      <w:r>
        <w:rPr>
          <w:spacing w:val="-18"/>
          <w:sz w:val="28"/>
        </w:rPr>
        <w:t xml:space="preserve"> </w:t>
      </w:r>
      <w:r>
        <w:rPr>
          <w:sz w:val="28"/>
        </w:rPr>
        <w:t>aux</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right="113"/>
      </w:pPr>
      <w:r>
        <w:lastRenderedPageBreak/>
        <w:t>justiciables des garanties égales, notamment quant au respect du principe des droits de la défense.</w:t>
      </w:r>
    </w:p>
    <w:p w:rsidR="00A54C16" w:rsidRDefault="00A54C16">
      <w:pPr>
        <w:pStyle w:val="a3"/>
        <w:spacing w:before="10"/>
        <w:rPr>
          <w:sz w:val="30"/>
        </w:rPr>
      </w:pPr>
    </w:p>
    <w:p w:rsidR="00A54C16" w:rsidRDefault="0020637D">
      <w:pPr>
        <w:pStyle w:val="a4"/>
        <w:numPr>
          <w:ilvl w:val="0"/>
          <w:numId w:val="1"/>
        </w:numPr>
        <w:tabs>
          <w:tab w:val="left" w:pos="2241"/>
        </w:tabs>
        <w:ind w:left="682" w:right="114" w:firstLine="851"/>
        <w:jc w:val="both"/>
        <w:rPr>
          <w:sz w:val="28"/>
        </w:rPr>
      </w:pPr>
      <w:r>
        <w:rPr>
          <w:sz w:val="28"/>
        </w:rPr>
        <w:t xml:space="preserve">Par dérogation à la règle résultant des articles 50 et 53 de la loi du 29 juillet 1881 </w:t>
      </w:r>
      <w:r>
        <w:rPr>
          <w:sz w:val="28"/>
        </w:rPr>
        <w:t>selon laquelle, en matière d’infraction à la loi sur la presse, la qualification du fait incriminé est irrévocablement fixée par l’acte de poursuite, les dispositions contestées prévoient la possibilité pour la juridiction de requalifier des faits initiale</w:t>
      </w:r>
      <w:r>
        <w:rPr>
          <w:sz w:val="28"/>
        </w:rPr>
        <w:t>ment qualifiés de provocation à la discrimination, à la haine ou à la violence, de diffamation ou d’injure publiques lorsqu’ils sont aggravés par certaines</w:t>
      </w:r>
      <w:r>
        <w:rPr>
          <w:spacing w:val="-11"/>
          <w:sz w:val="28"/>
        </w:rPr>
        <w:t xml:space="preserve"> </w:t>
      </w:r>
      <w:r>
        <w:rPr>
          <w:sz w:val="28"/>
        </w:rPr>
        <w:t>circonstances.</w:t>
      </w:r>
    </w:p>
    <w:p w:rsidR="00A54C16" w:rsidRDefault="00A54C16">
      <w:pPr>
        <w:pStyle w:val="a3"/>
        <w:spacing w:before="2"/>
        <w:rPr>
          <w:sz w:val="31"/>
        </w:rPr>
      </w:pPr>
    </w:p>
    <w:p w:rsidR="00A54C16" w:rsidRDefault="0020637D">
      <w:pPr>
        <w:pStyle w:val="a4"/>
        <w:numPr>
          <w:ilvl w:val="0"/>
          <w:numId w:val="1"/>
        </w:numPr>
        <w:tabs>
          <w:tab w:val="left" w:pos="2241"/>
        </w:tabs>
        <w:spacing w:before="1"/>
        <w:ind w:left="682" w:firstLine="852"/>
        <w:jc w:val="both"/>
        <w:rPr>
          <w:sz w:val="28"/>
        </w:rPr>
      </w:pPr>
      <w:r>
        <w:rPr>
          <w:sz w:val="28"/>
        </w:rPr>
        <w:t>D’une part, ces dispositions ont pour objet de faciliter la poursuite et la condamna</w:t>
      </w:r>
      <w:r>
        <w:rPr>
          <w:sz w:val="28"/>
        </w:rPr>
        <w:t xml:space="preserve">tion, dans les conditions prévues par la loi du      29 juillet 1881, des auteurs de propos ou d’écrits diffamatoires, injurieux  ou provoquant à la discrimination, à la haine ou à la violence, lorsqu’ils visent une personne en raison de son ethnie, de sa </w:t>
      </w:r>
      <w:r>
        <w:rPr>
          <w:sz w:val="28"/>
        </w:rPr>
        <w:t>nation, de sa race, de sa religion, de son sexe, de son orientation sexuelle ou de son identité de genre. Le législateur a précisément défini les infractions auxquelles cette possibilité de requalification est applicable. La différence de traitement qui en</w:t>
      </w:r>
      <w:r>
        <w:rPr>
          <w:sz w:val="28"/>
        </w:rPr>
        <w:t xml:space="preserve"> résulte, selon la nature des infractions, ne revêt pas un caractère disproportionné au regard de l’objectif</w:t>
      </w:r>
      <w:r>
        <w:rPr>
          <w:spacing w:val="-7"/>
          <w:sz w:val="28"/>
        </w:rPr>
        <w:t xml:space="preserve"> </w:t>
      </w:r>
      <w:r>
        <w:rPr>
          <w:sz w:val="28"/>
        </w:rPr>
        <w:t>poursuivi.</w:t>
      </w:r>
    </w:p>
    <w:p w:rsidR="00A54C16" w:rsidRDefault="00A54C16">
      <w:pPr>
        <w:pStyle w:val="a3"/>
        <w:spacing w:before="1"/>
        <w:rPr>
          <w:sz w:val="31"/>
        </w:rPr>
      </w:pPr>
    </w:p>
    <w:p w:rsidR="00A54C16" w:rsidRDefault="0020637D">
      <w:pPr>
        <w:pStyle w:val="a4"/>
        <w:numPr>
          <w:ilvl w:val="0"/>
          <w:numId w:val="1"/>
        </w:numPr>
        <w:tabs>
          <w:tab w:val="left" w:pos="2241"/>
        </w:tabs>
        <w:ind w:left="682" w:firstLine="851"/>
        <w:jc w:val="both"/>
        <w:rPr>
          <w:sz w:val="28"/>
        </w:rPr>
      </w:pPr>
      <w:r>
        <w:rPr>
          <w:sz w:val="28"/>
        </w:rPr>
        <w:t>D’autre part, il n’est pas porté atteinte aux droits de la défense, les dispositions du 8° du paragraphe I du même article 170 de la loi déférée prévoyant la possibilité pour le prévenu, en cas de requalification d’une infraction en diffamation, de prouver</w:t>
      </w:r>
      <w:r>
        <w:rPr>
          <w:sz w:val="28"/>
        </w:rPr>
        <w:t xml:space="preserve"> la vérité des faits diffamatoires conformément à l’article 35 de la loi du 29 juillet</w:t>
      </w:r>
      <w:r>
        <w:rPr>
          <w:spacing w:val="-23"/>
          <w:sz w:val="28"/>
        </w:rPr>
        <w:t xml:space="preserve"> </w:t>
      </w:r>
      <w:r>
        <w:rPr>
          <w:sz w:val="28"/>
        </w:rPr>
        <w:t>1881.</w:t>
      </w:r>
    </w:p>
    <w:p w:rsidR="00A54C16" w:rsidRDefault="00A54C16">
      <w:pPr>
        <w:pStyle w:val="a3"/>
        <w:spacing w:before="4"/>
        <w:rPr>
          <w:sz w:val="31"/>
        </w:rPr>
      </w:pPr>
    </w:p>
    <w:p w:rsidR="00A54C16" w:rsidRDefault="0020637D">
      <w:pPr>
        <w:pStyle w:val="a4"/>
        <w:numPr>
          <w:ilvl w:val="0"/>
          <w:numId w:val="1"/>
        </w:numPr>
        <w:tabs>
          <w:tab w:val="left" w:pos="2241"/>
        </w:tabs>
        <w:ind w:left="683" w:firstLine="851"/>
        <w:jc w:val="both"/>
        <w:rPr>
          <w:sz w:val="28"/>
        </w:rPr>
      </w:pPr>
      <w:r>
        <w:rPr>
          <w:sz w:val="28"/>
        </w:rPr>
        <w:t>Dans ces conditions, le grief tiré de l’atteinte au principe d’égalité devant la procédure pénale doit être</w:t>
      </w:r>
      <w:r>
        <w:rPr>
          <w:spacing w:val="-11"/>
          <w:sz w:val="28"/>
        </w:rPr>
        <w:t xml:space="preserve"> </w:t>
      </w:r>
      <w:r>
        <w:rPr>
          <w:sz w:val="28"/>
        </w:rPr>
        <w:t>écarté.</w:t>
      </w:r>
    </w:p>
    <w:p w:rsidR="00A54C16" w:rsidRDefault="00A54C16">
      <w:pPr>
        <w:pStyle w:val="a3"/>
        <w:spacing w:before="2"/>
        <w:rPr>
          <w:sz w:val="31"/>
        </w:rPr>
      </w:pPr>
    </w:p>
    <w:p w:rsidR="00A54C16" w:rsidRDefault="0020637D">
      <w:pPr>
        <w:pStyle w:val="a4"/>
        <w:numPr>
          <w:ilvl w:val="0"/>
          <w:numId w:val="1"/>
        </w:numPr>
        <w:tabs>
          <w:tab w:val="left" w:pos="2241"/>
        </w:tabs>
        <w:ind w:left="683" w:right="112" w:firstLine="851"/>
        <w:jc w:val="both"/>
        <w:rPr>
          <w:sz w:val="28"/>
        </w:rPr>
      </w:pPr>
      <w:r>
        <w:rPr>
          <w:sz w:val="28"/>
        </w:rPr>
        <w:t>Les dispositions du 7° du paragraphe I de l’a</w:t>
      </w:r>
      <w:r>
        <w:rPr>
          <w:sz w:val="28"/>
        </w:rPr>
        <w:t>rticle 170 de la loi déférée, qui ne méconnaissent aucune autre exigence constitutionnelle, sont conformes à la</w:t>
      </w:r>
      <w:r>
        <w:rPr>
          <w:spacing w:val="-3"/>
          <w:sz w:val="28"/>
        </w:rPr>
        <w:t xml:space="preserve"> </w:t>
      </w:r>
      <w:r>
        <w:rPr>
          <w:sz w:val="28"/>
        </w:rPr>
        <w:t>Constitution.</w:t>
      </w:r>
    </w:p>
    <w:p w:rsidR="00A54C16" w:rsidRDefault="00A54C16">
      <w:pPr>
        <w:pStyle w:val="a3"/>
        <w:rPr>
          <w:sz w:val="42"/>
        </w:rPr>
      </w:pPr>
    </w:p>
    <w:p w:rsidR="00A54C16" w:rsidRDefault="0020637D">
      <w:pPr>
        <w:pStyle w:val="a4"/>
        <w:numPr>
          <w:ilvl w:val="0"/>
          <w:numId w:val="2"/>
        </w:numPr>
        <w:tabs>
          <w:tab w:val="left" w:pos="971"/>
        </w:tabs>
        <w:spacing w:before="1"/>
        <w:ind w:left="970" w:right="0"/>
        <w:jc w:val="left"/>
        <w:rPr>
          <w:sz w:val="28"/>
        </w:rPr>
      </w:pPr>
      <w:r>
        <w:rPr>
          <w:sz w:val="28"/>
          <w:u w:val="single"/>
        </w:rPr>
        <w:t>Sur certaines dispositions de l’article 171</w:t>
      </w:r>
      <w:r>
        <w:rPr>
          <w:spacing w:val="-12"/>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 xml:space="preserve">Les 1° et 2° du paragraphe I de l’article 171 de la loi déférée modifient le code </w:t>
      </w:r>
      <w:r>
        <w:rPr>
          <w:sz w:val="28"/>
        </w:rPr>
        <w:t>pénal afin de prévoir que le fait d’accompagner, de faire suivre ou précéder un crime ou un délit de tout acte de nature à porter atteinte à l’honneur ou à la considération de la victime à raison de son ethnie,</w:t>
      </w:r>
      <w:r>
        <w:rPr>
          <w:spacing w:val="30"/>
          <w:sz w:val="28"/>
        </w:rPr>
        <w:t xml:space="preserve"> </w:t>
      </w:r>
      <w:r>
        <w:rPr>
          <w:sz w:val="28"/>
        </w:rPr>
        <w:t>de</w:t>
      </w:r>
      <w:r>
        <w:rPr>
          <w:spacing w:val="28"/>
          <w:sz w:val="28"/>
        </w:rPr>
        <w:t xml:space="preserve"> </w:t>
      </w:r>
      <w:r>
        <w:rPr>
          <w:sz w:val="28"/>
        </w:rPr>
        <w:t>sa</w:t>
      </w:r>
      <w:r>
        <w:rPr>
          <w:spacing w:val="30"/>
          <w:sz w:val="28"/>
        </w:rPr>
        <w:t xml:space="preserve"> </w:t>
      </w:r>
      <w:r>
        <w:rPr>
          <w:sz w:val="28"/>
        </w:rPr>
        <w:t>prétendue</w:t>
      </w:r>
      <w:r>
        <w:rPr>
          <w:spacing w:val="30"/>
          <w:sz w:val="28"/>
        </w:rPr>
        <w:t xml:space="preserve"> </w:t>
      </w:r>
      <w:r>
        <w:rPr>
          <w:sz w:val="28"/>
        </w:rPr>
        <w:t>race,</w:t>
      </w:r>
      <w:r>
        <w:rPr>
          <w:spacing w:val="30"/>
          <w:sz w:val="28"/>
        </w:rPr>
        <w:t xml:space="preserve"> </w:t>
      </w:r>
      <w:r>
        <w:rPr>
          <w:sz w:val="28"/>
        </w:rPr>
        <w:t>de</w:t>
      </w:r>
      <w:r>
        <w:rPr>
          <w:spacing w:val="30"/>
          <w:sz w:val="28"/>
        </w:rPr>
        <w:t xml:space="preserve"> </w:t>
      </w:r>
      <w:r>
        <w:rPr>
          <w:sz w:val="28"/>
        </w:rPr>
        <w:t>sa</w:t>
      </w:r>
      <w:r>
        <w:rPr>
          <w:spacing w:val="30"/>
          <w:sz w:val="28"/>
        </w:rPr>
        <w:t xml:space="preserve"> </w:t>
      </w:r>
      <w:r>
        <w:rPr>
          <w:sz w:val="28"/>
        </w:rPr>
        <w:t>nation,</w:t>
      </w:r>
      <w:r>
        <w:rPr>
          <w:spacing w:val="31"/>
          <w:sz w:val="28"/>
        </w:rPr>
        <w:t xml:space="preserve"> </w:t>
      </w:r>
      <w:r>
        <w:rPr>
          <w:sz w:val="28"/>
        </w:rPr>
        <w:t>de</w:t>
      </w:r>
      <w:r>
        <w:rPr>
          <w:spacing w:val="30"/>
          <w:sz w:val="28"/>
        </w:rPr>
        <w:t xml:space="preserve"> </w:t>
      </w:r>
      <w:r>
        <w:rPr>
          <w:sz w:val="28"/>
        </w:rPr>
        <w:t>sa</w:t>
      </w:r>
      <w:r>
        <w:rPr>
          <w:spacing w:val="30"/>
          <w:sz w:val="28"/>
        </w:rPr>
        <w:t xml:space="preserve"> </w:t>
      </w:r>
      <w:r>
        <w:rPr>
          <w:sz w:val="28"/>
        </w:rPr>
        <w:t>religion,</w:t>
      </w:r>
      <w:r>
        <w:rPr>
          <w:spacing w:val="30"/>
          <w:sz w:val="28"/>
        </w:rPr>
        <w:t xml:space="preserve"> </w:t>
      </w:r>
      <w:r>
        <w:rPr>
          <w:sz w:val="28"/>
        </w:rPr>
        <w:t>de</w:t>
      </w:r>
      <w:r>
        <w:rPr>
          <w:spacing w:val="30"/>
          <w:sz w:val="28"/>
        </w:rPr>
        <w:t xml:space="preserve"> </w:t>
      </w:r>
      <w:r>
        <w:rPr>
          <w:sz w:val="28"/>
        </w:rPr>
        <w:t>son</w:t>
      </w:r>
      <w:r>
        <w:rPr>
          <w:spacing w:val="29"/>
          <w:sz w:val="28"/>
        </w:rPr>
        <w:t xml:space="preserve"> </w:t>
      </w:r>
      <w:r>
        <w:rPr>
          <w:sz w:val="28"/>
        </w:rPr>
        <w:t>sexe,</w:t>
      </w:r>
      <w:r>
        <w:rPr>
          <w:spacing w:val="30"/>
          <w:sz w:val="28"/>
        </w:rPr>
        <w:t xml:space="preserve"> </w:t>
      </w:r>
      <w:r>
        <w:rPr>
          <w:sz w:val="28"/>
        </w:rPr>
        <w:t>de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5"/>
        <w:jc w:val="both"/>
      </w:pPr>
      <w:r>
        <w:lastRenderedPageBreak/>
        <w:t>son orientation sexuelle ou de son identité de genre, constitue une circonstance aggravante de ce crime ou de ce délit. Il en est de même lorsque l’infraction a été commise contre la victime pour l’une de ces rai</w:t>
      </w:r>
      <w:r>
        <w:t>sons.</w:t>
      </w:r>
    </w:p>
    <w:p w:rsidR="00A54C16" w:rsidRDefault="00A54C16">
      <w:pPr>
        <w:pStyle w:val="a3"/>
        <w:spacing w:before="4"/>
        <w:rPr>
          <w:sz w:val="31"/>
        </w:rPr>
      </w:pPr>
    </w:p>
    <w:p w:rsidR="00A54C16" w:rsidRDefault="0020637D">
      <w:pPr>
        <w:pStyle w:val="a4"/>
        <w:numPr>
          <w:ilvl w:val="0"/>
          <w:numId w:val="1"/>
        </w:numPr>
        <w:tabs>
          <w:tab w:val="left" w:pos="2240"/>
        </w:tabs>
        <w:ind w:left="682" w:right="116" w:firstLine="851"/>
        <w:jc w:val="both"/>
        <w:rPr>
          <w:sz w:val="28"/>
        </w:rPr>
      </w:pPr>
      <w:r>
        <w:rPr>
          <w:sz w:val="28"/>
        </w:rPr>
        <w:t>Les sénateurs requérants estiment que les 1° et 2° du paragraphe I de l’article 171 violent le principe de légalité des délits et des peines</w:t>
      </w:r>
      <w:r>
        <w:rPr>
          <w:spacing w:val="50"/>
          <w:sz w:val="28"/>
        </w:rPr>
        <w:t xml:space="preserve"> </w:t>
      </w:r>
      <w:r>
        <w:rPr>
          <w:sz w:val="28"/>
        </w:rPr>
        <w:t>dès</w:t>
      </w:r>
      <w:r>
        <w:rPr>
          <w:spacing w:val="50"/>
          <w:sz w:val="28"/>
        </w:rPr>
        <w:t xml:space="preserve"> </w:t>
      </w:r>
      <w:r>
        <w:rPr>
          <w:sz w:val="28"/>
        </w:rPr>
        <w:t>lors,</w:t>
      </w:r>
      <w:r>
        <w:rPr>
          <w:spacing w:val="48"/>
          <w:sz w:val="28"/>
        </w:rPr>
        <w:t xml:space="preserve"> </w:t>
      </w:r>
      <w:r>
        <w:rPr>
          <w:sz w:val="28"/>
        </w:rPr>
        <w:t>d’une</w:t>
      </w:r>
      <w:r>
        <w:rPr>
          <w:spacing w:val="49"/>
          <w:sz w:val="28"/>
        </w:rPr>
        <w:t xml:space="preserve"> </w:t>
      </w:r>
      <w:r>
        <w:rPr>
          <w:sz w:val="28"/>
        </w:rPr>
        <w:t>part,</w:t>
      </w:r>
      <w:r>
        <w:rPr>
          <w:spacing w:val="48"/>
          <w:sz w:val="28"/>
        </w:rPr>
        <w:t xml:space="preserve"> </w:t>
      </w:r>
      <w:r>
        <w:rPr>
          <w:sz w:val="28"/>
        </w:rPr>
        <w:t>que</w:t>
      </w:r>
      <w:r>
        <w:rPr>
          <w:spacing w:val="49"/>
          <w:sz w:val="28"/>
        </w:rPr>
        <w:t xml:space="preserve"> </w:t>
      </w:r>
      <w:r>
        <w:rPr>
          <w:sz w:val="28"/>
        </w:rPr>
        <w:t>les</w:t>
      </w:r>
      <w:r>
        <w:rPr>
          <w:spacing w:val="48"/>
          <w:sz w:val="28"/>
        </w:rPr>
        <w:t xml:space="preserve"> </w:t>
      </w:r>
      <w:r>
        <w:rPr>
          <w:sz w:val="28"/>
        </w:rPr>
        <w:t>termes «</w:t>
      </w:r>
      <w:r>
        <w:rPr>
          <w:spacing w:val="-2"/>
          <w:sz w:val="28"/>
        </w:rPr>
        <w:t xml:space="preserve"> </w:t>
      </w:r>
      <w:r>
        <w:rPr>
          <w:sz w:val="28"/>
        </w:rPr>
        <w:t>identité</w:t>
      </w:r>
      <w:r>
        <w:rPr>
          <w:spacing w:val="47"/>
          <w:sz w:val="28"/>
        </w:rPr>
        <w:t xml:space="preserve"> </w:t>
      </w:r>
      <w:r>
        <w:rPr>
          <w:sz w:val="28"/>
        </w:rPr>
        <w:t>de</w:t>
      </w:r>
      <w:r>
        <w:rPr>
          <w:spacing w:val="47"/>
          <w:sz w:val="28"/>
        </w:rPr>
        <w:t xml:space="preserve"> </w:t>
      </w:r>
      <w:r>
        <w:rPr>
          <w:sz w:val="28"/>
        </w:rPr>
        <w:t>genre »</w:t>
      </w:r>
      <w:r>
        <w:rPr>
          <w:spacing w:val="48"/>
          <w:sz w:val="28"/>
        </w:rPr>
        <w:t xml:space="preserve"> </w:t>
      </w:r>
      <w:r>
        <w:rPr>
          <w:sz w:val="28"/>
        </w:rPr>
        <w:t>et</w:t>
      </w:r>
    </w:p>
    <w:p w:rsidR="00A54C16" w:rsidRDefault="0020637D">
      <w:pPr>
        <w:pStyle w:val="a3"/>
        <w:spacing w:before="1"/>
        <w:ind w:left="682" w:right="113"/>
        <w:jc w:val="both"/>
      </w:pPr>
      <w:r>
        <w:t>« prétendue race » sont insuffisamment précis et, d’autre part, que ces dispositions instaurent une circonstance aggravante applicable de manière indifférenciée à tous les délits. Ces dispositions méconnaîtraient également le principe de proportionnalité d</w:t>
      </w:r>
      <w:r>
        <w:t>es peines et l’objectif de valeur constitutionnelle d’accessibilité et d’intelligibilité de la loi.</w:t>
      </w:r>
    </w:p>
    <w:p w:rsidR="00A54C16" w:rsidRDefault="00A54C16">
      <w:pPr>
        <w:pStyle w:val="a3"/>
        <w:spacing w:before="1"/>
        <w:rPr>
          <w:sz w:val="31"/>
        </w:rPr>
      </w:pPr>
    </w:p>
    <w:p w:rsidR="00A54C16" w:rsidRDefault="0020637D">
      <w:pPr>
        <w:pStyle w:val="a4"/>
        <w:numPr>
          <w:ilvl w:val="0"/>
          <w:numId w:val="1"/>
        </w:numPr>
        <w:tabs>
          <w:tab w:val="left" w:pos="2241"/>
        </w:tabs>
        <w:ind w:left="682" w:firstLine="851"/>
        <w:jc w:val="both"/>
        <w:rPr>
          <w:sz w:val="28"/>
        </w:rPr>
      </w:pPr>
      <w:r>
        <w:rPr>
          <w:sz w:val="28"/>
        </w:rPr>
        <w:t>Il résulte de l’article 8 de la Déclaration de 1789 que, si la nécessité des peines attachées aux infractions relève du pouvoir d’appréciation du législate</w:t>
      </w:r>
      <w:r>
        <w:rPr>
          <w:sz w:val="28"/>
        </w:rPr>
        <w:t>ur, il incombe au Conseil constitutionnel de s’assurer de l’absence de disproportion manifeste entre l’infraction et la peine</w:t>
      </w:r>
      <w:r>
        <w:rPr>
          <w:spacing w:val="-2"/>
          <w:sz w:val="28"/>
        </w:rPr>
        <w:t xml:space="preserve"> </w:t>
      </w:r>
      <w:r>
        <w:rPr>
          <w:sz w:val="28"/>
        </w:rPr>
        <w:t>encourue.</w:t>
      </w:r>
    </w:p>
    <w:p w:rsidR="00A54C16" w:rsidRDefault="00A54C16">
      <w:pPr>
        <w:pStyle w:val="a3"/>
        <w:spacing w:before="4"/>
        <w:rPr>
          <w:sz w:val="31"/>
        </w:rPr>
      </w:pPr>
    </w:p>
    <w:p w:rsidR="00A54C16" w:rsidRDefault="0020637D">
      <w:pPr>
        <w:pStyle w:val="a4"/>
        <w:numPr>
          <w:ilvl w:val="0"/>
          <w:numId w:val="1"/>
        </w:numPr>
        <w:tabs>
          <w:tab w:val="left" w:pos="2241"/>
        </w:tabs>
        <w:ind w:left="682" w:firstLine="852"/>
        <w:jc w:val="both"/>
        <w:rPr>
          <w:sz w:val="28"/>
        </w:rPr>
      </w:pPr>
      <w:r>
        <w:rPr>
          <w:sz w:val="28"/>
        </w:rPr>
        <w:t xml:space="preserve">En premier lieu, d’une part, il ressort du paragraphe </w:t>
      </w:r>
      <w:hyperlink w:anchor="_bookmark0" w:history="1">
        <w:r>
          <w:rPr>
            <w:sz w:val="28"/>
          </w:rPr>
          <w:t xml:space="preserve">89 </w:t>
        </w:r>
      </w:hyperlink>
      <w:r>
        <w:rPr>
          <w:sz w:val="28"/>
        </w:rPr>
        <w:t>que la notion d’identité de genr</w:t>
      </w:r>
      <w:r>
        <w:rPr>
          <w:sz w:val="28"/>
        </w:rPr>
        <w:t>e est suffisamment claire et précise pour que soit respecté le principe de légalité des délits et des peines. Il en va de même de celle de prétendue race dont la portée au regard de la répression pénale n’est pas distincte de celle de race. D’autre part, l</w:t>
      </w:r>
      <w:r>
        <w:rPr>
          <w:sz w:val="28"/>
        </w:rPr>
        <w:t>es dispositions contestées définissent de manière précise les conditions dans lesquelles un crime ou  un délit peut être aggravé. Le grief tiré de l’atteinte au principe de légalité des délits et des peines doit en conséquence être</w:t>
      </w:r>
      <w:r>
        <w:rPr>
          <w:spacing w:val="-12"/>
          <w:sz w:val="28"/>
        </w:rPr>
        <w:t xml:space="preserve"> </w:t>
      </w:r>
      <w:r>
        <w:rPr>
          <w:sz w:val="28"/>
        </w:rPr>
        <w:t>écarté.</w:t>
      </w:r>
    </w:p>
    <w:p w:rsidR="00A54C16" w:rsidRDefault="00A54C16">
      <w:pPr>
        <w:pStyle w:val="a3"/>
        <w:spacing w:before="2"/>
        <w:rPr>
          <w:sz w:val="31"/>
        </w:rPr>
      </w:pPr>
    </w:p>
    <w:p w:rsidR="00A54C16" w:rsidRDefault="0020637D">
      <w:pPr>
        <w:pStyle w:val="a4"/>
        <w:numPr>
          <w:ilvl w:val="0"/>
          <w:numId w:val="1"/>
        </w:numPr>
        <w:tabs>
          <w:tab w:val="left" w:pos="2241"/>
        </w:tabs>
        <w:ind w:left="682" w:right="111" w:firstLine="851"/>
        <w:jc w:val="both"/>
        <w:rPr>
          <w:sz w:val="28"/>
        </w:rPr>
      </w:pPr>
      <w:r>
        <w:rPr>
          <w:sz w:val="28"/>
        </w:rPr>
        <w:t>En second lieu,</w:t>
      </w:r>
      <w:r>
        <w:rPr>
          <w:sz w:val="28"/>
        </w:rPr>
        <w:t xml:space="preserve"> d’une part, les dispositions contestées de l’article 171 prévoient que, lorsqu’une infraction punie d’une peine supérieure ou égale à cinq ans d’emprisonnement est commise pour des raisons racistes, sexistes ou religieuses ou est accompagnée, précédée ou </w:t>
      </w:r>
      <w:r>
        <w:rPr>
          <w:sz w:val="28"/>
        </w:rPr>
        <w:t>suivie d’actes de cette nature, la peine encourue est aggravée d’un degré dans l’échelle des peines criminelles et correctionnelles définie aux articles 131-1 et 131-4 du code pénal. Lorsque l’infraction est punie de trois ans d’emprisonnement, au plus, la</w:t>
      </w:r>
      <w:r>
        <w:rPr>
          <w:sz w:val="28"/>
        </w:rPr>
        <w:t xml:space="preserve"> peine est portée au double. D’autre part, cette circonstance aggravante n’est pas applicable à certaines infractions, notamment aux délits de provocation, de diffamation ou d’injure lorsqu’ils sont commis en raison de l’ethnie, de la nation, de la race, d</w:t>
      </w:r>
      <w:r>
        <w:rPr>
          <w:sz w:val="28"/>
        </w:rPr>
        <w:t>e la religion, du sexe, de l’orientation sexuelle ou de l’identité de genre, ni au délit de discrimination, dans la mesure où ces délits répriment déjà le caractère discriminatoire</w:t>
      </w:r>
      <w:r>
        <w:rPr>
          <w:spacing w:val="11"/>
          <w:sz w:val="28"/>
        </w:rPr>
        <w:t xml:space="preserve"> </w:t>
      </w:r>
      <w:r>
        <w:rPr>
          <w:sz w:val="28"/>
        </w:rPr>
        <w:t>des</w:t>
      </w:r>
      <w:r>
        <w:rPr>
          <w:spacing w:val="13"/>
          <w:sz w:val="28"/>
        </w:rPr>
        <w:t xml:space="preserve"> </w:t>
      </w:r>
      <w:r>
        <w:rPr>
          <w:sz w:val="28"/>
        </w:rPr>
        <w:t>faits</w:t>
      </w:r>
      <w:r>
        <w:rPr>
          <w:spacing w:val="13"/>
          <w:sz w:val="28"/>
        </w:rPr>
        <w:t xml:space="preserve"> </w:t>
      </w:r>
      <w:r>
        <w:rPr>
          <w:sz w:val="28"/>
        </w:rPr>
        <w:t>commis.</w:t>
      </w:r>
      <w:r>
        <w:rPr>
          <w:spacing w:val="11"/>
          <w:sz w:val="28"/>
        </w:rPr>
        <w:t xml:space="preserve"> </w:t>
      </w:r>
      <w:r>
        <w:rPr>
          <w:sz w:val="28"/>
        </w:rPr>
        <w:t>Enfin,</w:t>
      </w:r>
      <w:r>
        <w:rPr>
          <w:spacing w:val="12"/>
          <w:sz w:val="28"/>
        </w:rPr>
        <w:t xml:space="preserve"> </w:t>
      </w:r>
      <w:r>
        <w:rPr>
          <w:sz w:val="28"/>
        </w:rPr>
        <w:t>les</w:t>
      </w:r>
      <w:r>
        <w:rPr>
          <w:spacing w:val="13"/>
          <w:sz w:val="28"/>
        </w:rPr>
        <w:t xml:space="preserve"> </w:t>
      </w:r>
      <w:r>
        <w:rPr>
          <w:sz w:val="28"/>
        </w:rPr>
        <w:t>faits</w:t>
      </w:r>
      <w:r>
        <w:rPr>
          <w:spacing w:val="13"/>
          <w:sz w:val="28"/>
        </w:rPr>
        <w:t xml:space="preserve"> </w:t>
      </w:r>
      <w:r>
        <w:rPr>
          <w:sz w:val="28"/>
        </w:rPr>
        <w:t>justifiant</w:t>
      </w:r>
      <w:r>
        <w:rPr>
          <w:spacing w:val="10"/>
          <w:sz w:val="28"/>
        </w:rPr>
        <w:t xml:space="preserve"> </w:t>
      </w:r>
      <w:r>
        <w:rPr>
          <w:sz w:val="28"/>
        </w:rPr>
        <w:t>l’aggravation</w:t>
      </w:r>
      <w:r>
        <w:rPr>
          <w:spacing w:val="13"/>
          <w:sz w:val="28"/>
        </w:rPr>
        <w:t xml:space="preserve"> </w:t>
      </w:r>
      <w:r>
        <w:rPr>
          <w:sz w:val="28"/>
        </w:rPr>
        <w:t>de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pPr>
      <w:r>
        <w:lastRenderedPageBreak/>
        <w:t>la peine doivent avoir été commis à l’encontre de la victime de l’infraction principale ou être liés à sa personne.</w:t>
      </w:r>
    </w:p>
    <w:p w:rsidR="00A54C16" w:rsidRDefault="00A54C16">
      <w:pPr>
        <w:pStyle w:val="a3"/>
        <w:spacing w:before="10"/>
        <w:rPr>
          <w:sz w:val="30"/>
        </w:rPr>
      </w:pPr>
    </w:p>
    <w:p w:rsidR="00A54C16" w:rsidRDefault="0020637D">
      <w:pPr>
        <w:pStyle w:val="a4"/>
        <w:numPr>
          <w:ilvl w:val="0"/>
          <w:numId w:val="1"/>
        </w:numPr>
        <w:tabs>
          <w:tab w:val="left" w:pos="2240"/>
        </w:tabs>
        <w:ind w:left="682" w:right="115" w:firstLine="851"/>
        <w:jc w:val="both"/>
        <w:rPr>
          <w:sz w:val="28"/>
        </w:rPr>
      </w:pPr>
      <w:r>
        <w:rPr>
          <w:sz w:val="28"/>
        </w:rPr>
        <w:t xml:space="preserve">Il résulte de ce qui précède qu’en instaurant la circonstance aggravante contestée, le législateur n’a pas prévu une sanction manifestement disproportionnée à la gravité des faits qu’il a entendu réprimer. Le grief tiré de la méconnaissance du principe de </w:t>
      </w:r>
      <w:r>
        <w:rPr>
          <w:sz w:val="28"/>
        </w:rPr>
        <w:t>proportionnalité des peines doit donc être</w:t>
      </w:r>
      <w:r>
        <w:rPr>
          <w:spacing w:val="-7"/>
          <w:sz w:val="28"/>
        </w:rPr>
        <w:t xml:space="preserve"> </w:t>
      </w:r>
      <w:r>
        <w:rPr>
          <w:sz w:val="28"/>
        </w:rPr>
        <w:t>écarté.</w:t>
      </w:r>
    </w:p>
    <w:p w:rsidR="00A54C16" w:rsidRDefault="00A54C16">
      <w:pPr>
        <w:pStyle w:val="a3"/>
        <w:spacing w:before="3"/>
        <w:rPr>
          <w:sz w:val="31"/>
        </w:rPr>
      </w:pPr>
    </w:p>
    <w:p w:rsidR="00A54C16" w:rsidRDefault="0020637D">
      <w:pPr>
        <w:pStyle w:val="a4"/>
        <w:numPr>
          <w:ilvl w:val="0"/>
          <w:numId w:val="1"/>
        </w:numPr>
        <w:tabs>
          <w:tab w:val="left" w:pos="2240"/>
        </w:tabs>
        <w:ind w:left="682" w:firstLine="851"/>
        <w:jc w:val="both"/>
        <w:rPr>
          <w:sz w:val="28"/>
        </w:rPr>
      </w:pPr>
      <w:r>
        <w:rPr>
          <w:sz w:val="28"/>
        </w:rPr>
        <w:t>Les 1° et 2° du paragraphe I de l’article 171 de la loi déférée, qui ne méconnaissent ni l’objectif de valeur constitutionnelle  d’accessibilité et d’intelligibilité de la loi, ni aucune autre exigence co</w:t>
      </w:r>
      <w:r>
        <w:rPr>
          <w:sz w:val="28"/>
        </w:rPr>
        <w:t>nstitutionnelle, sont conformes à la</w:t>
      </w:r>
      <w:r>
        <w:rPr>
          <w:spacing w:val="-8"/>
          <w:sz w:val="28"/>
        </w:rPr>
        <w:t xml:space="preserve"> </w:t>
      </w:r>
      <w:r>
        <w:rPr>
          <w:sz w:val="28"/>
        </w:rPr>
        <w:t>Constitution.</w:t>
      </w:r>
    </w:p>
    <w:p w:rsidR="00A54C16" w:rsidRDefault="00A54C16">
      <w:pPr>
        <w:pStyle w:val="a3"/>
        <w:spacing w:before="8"/>
        <w:rPr>
          <w:sz w:val="41"/>
        </w:rPr>
      </w:pPr>
    </w:p>
    <w:p w:rsidR="00A54C16" w:rsidRDefault="0020637D">
      <w:pPr>
        <w:pStyle w:val="a4"/>
        <w:numPr>
          <w:ilvl w:val="0"/>
          <w:numId w:val="2"/>
        </w:numPr>
        <w:tabs>
          <w:tab w:val="left" w:pos="971"/>
        </w:tabs>
        <w:ind w:left="970" w:right="0"/>
        <w:jc w:val="left"/>
        <w:rPr>
          <w:sz w:val="28"/>
        </w:rPr>
      </w:pPr>
      <w:r>
        <w:rPr>
          <w:sz w:val="28"/>
          <w:u w:val="single"/>
        </w:rPr>
        <w:t>Sur les articles 174 et 176</w:t>
      </w:r>
      <w:r>
        <w:rPr>
          <w:spacing w:val="-5"/>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firstLine="851"/>
        <w:jc w:val="both"/>
        <w:rPr>
          <w:sz w:val="28"/>
        </w:rPr>
      </w:pPr>
      <w:r>
        <w:rPr>
          <w:sz w:val="28"/>
        </w:rPr>
        <w:t>L’article 174 de la loi déférée modifie l’article 48-1 de la loi du 29 juillet 1881 afin d’autoriser certaines associations à se constituer partie civile pour les infraction</w:t>
      </w:r>
      <w:r>
        <w:rPr>
          <w:sz w:val="28"/>
        </w:rPr>
        <w:t>s d’incitation à la haine raciale, de diffamation et d’injure raciale ou de provocation à commettre un délit ou un crime raciste ou religieux, dès lors qu’elles justifient que la victime ne s’oppose pas aux</w:t>
      </w:r>
      <w:r>
        <w:rPr>
          <w:spacing w:val="-6"/>
          <w:sz w:val="28"/>
        </w:rPr>
        <w:t xml:space="preserve"> </w:t>
      </w:r>
      <w:r>
        <w:rPr>
          <w:sz w:val="28"/>
        </w:rPr>
        <w:t>poursuites.</w:t>
      </w:r>
    </w:p>
    <w:p w:rsidR="00A54C16" w:rsidRDefault="00A54C16">
      <w:pPr>
        <w:pStyle w:val="a3"/>
        <w:spacing w:before="3"/>
        <w:rPr>
          <w:sz w:val="31"/>
        </w:rPr>
      </w:pPr>
    </w:p>
    <w:p w:rsidR="00A54C16" w:rsidRDefault="0020637D">
      <w:pPr>
        <w:pStyle w:val="a4"/>
        <w:numPr>
          <w:ilvl w:val="0"/>
          <w:numId w:val="1"/>
        </w:numPr>
        <w:tabs>
          <w:tab w:val="left" w:pos="2241"/>
        </w:tabs>
        <w:ind w:left="682" w:firstLine="852"/>
        <w:jc w:val="both"/>
        <w:rPr>
          <w:sz w:val="28"/>
        </w:rPr>
      </w:pPr>
      <w:r>
        <w:rPr>
          <w:sz w:val="28"/>
        </w:rPr>
        <w:t xml:space="preserve">L’article  176  modifie  l’article  </w:t>
      </w:r>
      <w:r>
        <w:rPr>
          <w:sz w:val="28"/>
        </w:rPr>
        <w:t>48-2  de  la  loi  du  29  juillet 1881. Il ouvre l’action civile en matière d’apologie de crimes de guerre, de crimes contre l’humanité ou de crimes ou de délits de collaboration avec l’ennemi, ainsi qu’en matière de négationnisme, non seulement aux assoc</w:t>
      </w:r>
      <w:r>
        <w:rPr>
          <w:sz w:val="28"/>
        </w:rPr>
        <w:t xml:space="preserve">iations régulièrement déclarées depuis au moins </w:t>
      </w:r>
      <w:r>
        <w:rPr>
          <w:spacing w:val="-3"/>
          <w:sz w:val="28"/>
        </w:rPr>
        <w:t xml:space="preserve">cinq </w:t>
      </w:r>
      <w:r>
        <w:rPr>
          <w:sz w:val="28"/>
        </w:rPr>
        <w:t>ans à la date des faits dont l’objet est la défense des intérêts moraux et de l’honneur de la Résistance ou des déportés, mais aussi à celles dont l’objet est l’assistance des victimes de crimes de guerr</w:t>
      </w:r>
      <w:r>
        <w:rPr>
          <w:sz w:val="28"/>
        </w:rPr>
        <w:t>e ou de crimes contre l’humanité, la défense de leur mémoire ou la lutte contre les discriminations.</w:t>
      </w:r>
    </w:p>
    <w:p w:rsidR="00A54C16" w:rsidRDefault="00A54C16">
      <w:pPr>
        <w:pStyle w:val="a3"/>
        <w:spacing w:before="4"/>
        <w:rPr>
          <w:sz w:val="31"/>
        </w:rPr>
      </w:pPr>
    </w:p>
    <w:p w:rsidR="00A54C16" w:rsidRDefault="0020637D">
      <w:pPr>
        <w:pStyle w:val="a4"/>
        <w:numPr>
          <w:ilvl w:val="0"/>
          <w:numId w:val="1"/>
        </w:numPr>
        <w:tabs>
          <w:tab w:val="left" w:pos="2241"/>
        </w:tabs>
        <w:ind w:left="682" w:right="114" w:firstLine="852"/>
        <w:jc w:val="both"/>
        <w:rPr>
          <w:sz w:val="28"/>
        </w:rPr>
      </w:pPr>
      <w:r>
        <w:rPr>
          <w:sz w:val="28"/>
        </w:rPr>
        <w:t>Les sénateurs requérants reprochent à ces dispositions, qui suppriment la condition d’accord de la victime pour la constitution  de partie civile d’une as</w:t>
      </w:r>
      <w:r>
        <w:rPr>
          <w:sz w:val="28"/>
        </w:rPr>
        <w:t>sociation pour certains délits de presse de méconnaître l’exigence de clarté de la loi et d’élargir « de manière disproportionnée les poursuites qui pourraient être engagées</w:t>
      </w:r>
      <w:r>
        <w:rPr>
          <w:spacing w:val="-5"/>
          <w:sz w:val="28"/>
        </w:rPr>
        <w:t xml:space="preserve"> </w:t>
      </w:r>
      <w:r>
        <w:rPr>
          <w:sz w:val="28"/>
        </w:rPr>
        <w:t>».</w:t>
      </w:r>
    </w:p>
    <w:p w:rsidR="00A54C16" w:rsidRDefault="00A54C16">
      <w:pPr>
        <w:pStyle w:val="a3"/>
        <w:spacing w:before="4"/>
        <w:rPr>
          <w:sz w:val="31"/>
        </w:rPr>
      </w:pPr>
    </w:p>
    <w:p w:rsidR="00A54C16" w:rsidRDefault="0020637D">
      <w:pPr>
        <w:pStyle w:val="a4"/>
        <w:numPr>
          <w:ilvl w:val="0"/>
          <w:numId w:val="1"/>
        </w:numPr>
        <w:tabs>
          <w:tab w:val="left" w:pos="2240"/>
        </w:tabs>
        <w:ind w:left="682" w:right="116" w:firstLine="851"/>
        <w:jc w:val="both"/>
        <w:rPr>
          <w:sz w:val="28"/>
        </w:rPr>
      </w:pPr>
      <w:r>
        <w:rPr>
          <w:sz w:val="28"/>
        </w:rPr>
        <w:t>L’article 174 se borne à subordonner l’exercice de l’action civile</w:t>
      </w:r>
      <w:r>
        <w:rPr>
          <w:spacing w:val="13"/>
          <w:sz w:val="28"/>
        </w:rPr>
        <w:t xml:space="preserve"> </w:t>
      </w:r>
      <w:r>
        <w:rPr>
          <w:sz w:val="28"/>
        </w:rPr>
        <w:t>des</w:t>
      </w:r>
      <w:r>
        <w:rPr>
          <w:spacing w:val="15"/>
          <w:sz w:val="28"/>
        </w:rPr>
        <w:t xml:space="preserve"> </w:t>
      </w:r>
      <w:r>
        <w:rPr>
          <w:sz w:val="28"/>
        </w:rPr>
        <w:t>associations</w:t>
      </w:r>
      <w:r>
        <w:rPr>
          <w:spacing w:val="15"/>
          <w:sz w:val="28"/>
        </w:rPr>
        <w:t xml:space="preserve"> </w:t>
      </w:r>
      <w:r>
        <w:rPr>
          <w:sz w:val="28"/>
        </w:rPr>
        <w:t>qu’il</w:t>
      </w:r>
      <w:r>
        <w:rPr>
          <w:spacing w:val="14"/>
          <w:sz w:val="28"/>
        </w:rPr>
        <w:t xml:space="preserve"> </w:t>
      </w:r>
      <w:r>
        <w:rPr>
          <w:sz w:val="28"/>
        </w:rPr>
        <w:t>désigne,</w:t>
      </w:r>
      <w:r>
        <w:rPr>
          <w:spacing w:val="13"/>
          <w:sz w:val="28"/>
        </w:rPr>
        <w:t xml:space="preserve"> </w:t>
      </w:r>
      <w:r>
        <w:rPr>
          <w:sz w:val="28"/>
        </w:rPr>
        <w:t>à</w:t>
      </w:r>
      <w:r>
        <w:rPr>
          <w:spacing w:val="14"/>
          <w:sz w:val="28"/>
        </w:rPr>
        <w:t xml:space="preserve"> </w:t>
      </w:r>
      <w:r>
        <w:rPr>
          <w:sz w:val="28"/>
        </w:rPr>
        <w:t>l’absence</w:t>
      </w:r>
      <w:r>
        <w:rPr>
          <w:spacing w:val="14"/>
          <w:sz w:val="28"/>
        </w:rPr>
        <w:t xml:space="preserve"> </w:t>
      </w:r>
      <w:r>
        <w:rPr>
          <w:sz w:val="28"/>
        </w:rPr>
        <w:t>d’opposition</w:t>
      </w:r>
      <w:r>
        <w:rPr>
          <w:spacing w:val="12"/>
          <w:sz w:val="28"/>
        </w:rPr>
        <w:t xml:space="preserve"> </w:t>
      </w:r>
      <w:r>
        <w:rPr>
          <w:sz w:val="28"/>
        </w:rPr>
        <w:t>des</w:t>
      </w:r>
      <w:r>
        <w:rPr>
          <w:spacing w:val="13"/>
          <w:sz w:val="28"/>
        </w:rPr>
        <w:t xml:space="preserve"> </w:t>
      </w:r>
      <w:r>
        <w:rPr>
          <w:sz w:val="28"/>
        </w:rPr>
        <w:t>victimes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5"/>
        <w:jc w:val="both"/>
      </w:pPr>
      <w:r>
        <w:lastRenderedPageBreak/>
        <w:t>de certaines infractions, lorsque ces infractions ont été commises envers des personnes considérées individuellement. Il ne confère pas à ces associations la possibilité d’exercer l’action civile individuelle de ces victimes à leur</w:t>
      </w:r>
      <w:r>
        <w:rPr>
          <w:spacing w:val="-4"/>
        </w:rPr>
        <w:t xml:space="preserve"> </w:t>
      </w:r>
      <w:r>
        <w:t>place.</w:t>
      </w:r>
    </w:p>
    <w:p w:rsidR="00A54C16" w:rsidRDefault="00A54C16">
      <w:pPr>
        <w:pStyle w:val="a3"/>
        <w:spacing w:before="4"/>
        <w:rPr>
          <w:sz w:val="31"/>
        </w:rPr>
      </w:pPr>
    </w:p>
    <w:p w:rsidR="00A54C16" w:rsidRDefault="0020637D">
      <w:pPr>
        <w:pStyle w:val="a4"/>
        <w:numPr>
          <w:ilvl w:val="0"/>
          <w:numId w:val="1"/>
        </w:numPr>
        <w:tabs>
          <w:tab w:val="left" w:pos="2240"/>
        </w:tabs>
        <w:ind w:left="682" w:firstLine="851"/>
        <w:jc w:val="both"/>
        <w:rPr>
          <w:sz w:val="28"/>
        </w:rPr>
      </w:pPr>
      <w:r>
        <w:rPr>
          <w:sz w:val="28"/>
        </w:rPr>
        <w:t>L’article 176, q</w:t>
      </w:r>
      <w:r>
        <w:rPr>
          <w:sz w:val="28"/>
        </w:rPr>
        <w:t>ui étend à l’ensemble des associations de défense des victimes de crimes de guerre ou de crimes contre l’humanité ainsi qu’aux associations de lutte contre les discriminations, l’action civile anciennement réservée aux seules associations de défense des ré</w:t>
      </w:r>
      <w:r>
        <w:rPr>
          <w:sz w:val="28"/>
        </w:rPr>
        <w:t>sistants et des déportés tire les conséquences de la décision du Conseil constitutionnel du 16 octobre 2015 mentionnée ci-dessus. Compte tenu de la nature des infractions en cause, il était loisible au législateur de ne pas soumettre l’action des associati</w:t>
      </w:r>
      <w:r>
        <w:rPr>
          <w:sz w:val="28"/>
        </w:rPr>
        <w:t>ons à l’obtention préalable de l’accord ou de l’absence d’opposition des victimes des crimes ou des délits faisant l’objet de l’apologie, de la négation, de la banalisation ou de la minoration poursuivie.</w:t>
      </w:r>
    </w:p>
    <w:p w:rsidR="00A54C16" w:rsidRDefault="00A54C16">
      <w:pPr>
        <w:pStyle w:val="a3"/>
        <w:spacing w:before="4"/>
        <w:rPr>
          <w:sz w:val="31"/>
        </w:rPr>
      </w:pPr>
    </w:p>
    <w:p w:rsidR="00A54C16" w:rsidRDefault="0020637D">
      <w:pPr>
        <w:pStyle w:val="a4"/>
        <w:numPr>
          <w:ilvl w:val="0"/>
          <w:numId w:val="1"/>
        </w:numPr>
        <w:tabs>
          <w:tab w:val="left" w:pos="2241"/>
        </w:tabs>
        <w:ind w:left="682" w:right="115" w:firstLine="851"/>
        <w:jc w:val="both"/>
        <w:rPr>
          <w:sz w:val="28"/>
        </w:rPr>
      </w:pPr>
      <w:r>
        <w:rPr>
          <w:sz w:val="28"/>
        </w:rPr>
        <w:t xml:space="preserve">Il résulte de ce qui précède que les articles 174 </w:t>
      </w:r>
      <w:r>
        <w:rPr>
          <w:sz w:val="28"/>
        </w:rPr>
        <w:t>et 176 qui sont clairs et ne méconnaissent aucune exigence constitutionnelle sont conformes à la</w:t>
      </w:r>
      <w:r>
        <w:rPr>
          <w:spacing w:val="-3"/>
          <w:sz w:val="28"/>
        </w:rPr>
        <w:t xml:space="preserve"> </w:t>
      </w:r>
      <w:r>
        <w:rPr>
          <w:sz w:val="28"/>
        </w:rPr>
        <w:t>Constitution.</w:t>
      </w:r>
    </w:p>
    <w:p w:rsidR="00A54C16" w:rsidRDefault="00A54C16">
      <w:pPr>
        <w:pStyle w:val="a3"/>
        <w:spacing w:before="8"/>
        <w:rPr>
          <w:sz w:val="41"/>
        </w:rPr>
      </w:pPr>
    </w:p>
    <w:p w:rsidR="00A54C16" w:rsidRDefault="0020637D">
      <w:pPr>
        <w:pStyle w:val="a4"/>
        <w:numPr>
          <w:ilvl w:val="0"/>
          <w:numId w:val="2"/>
        </w:numPr>
        <w:tabs>
          <w:tab w:val="left" w:pos="971"/>
        </w:tabs>
        <w:ind w:left="970" w:right="0"/>
        <w:rPr>
          <w:sz w:val="28"/>
        </w:rPr>
      </w:pPr>
      <w:r>
        <w:rPr>
          <w:sz w:val="28"/>
          <w:u w:val="single"/>
        </w:rPr>
        <w:t>Sur l’article 177</w:t>
      </w:r>
      <w:r>
        <w:rPr>
          <w:spacing w:val="-4"/>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Le 1° de l’article 177 de la loi déférée insère, dans le code pénal, un article 225-1-2 prévoyant que constitue une discrim</w:t>
      </w:r>
      <w:r>
        <w:rPr>
          <w:sz w:val="28"/>
        </w:rPr>
        <w:t>ination toute distinction opérée entre les personnes parce qu’elles ont subi ou refusé de subir des faits de bizutage, ou témoigné de tels faits. Le 2° de cet article 177 ajoute la référence à l’article 225-1-2 dans l’article 225-2 du même code, qui énumèr</w:t>
      </w:r>
      <w:r>
        <w:rPr>
          <w:sz w:val="28"/>
        </w:rPr>
        <w:t>e et réprime les faits de discrimination. Le 3° de cet article 177 étend le champ des actes qualifiés de bizutage à ceux commis dans le milieu</w:t>
      </w:r>
      <w:r>
        <w:rPr>
          <w:spacing w:val="-1"/>
          <w:sz w:val="28"/>
        </w:rPr>
        <w:t xml:space="preserve"> </w:t>
      </w:r>
      <w:r>
        <w:rPr>
          <w:sz w:val="28"/>
        </w:rPr>
        <w:t>sportif.</w:t>
      </w:r>
    </w:p>
    <w:p w:rsidR="00A54C16" w:rsidRDefault="00A54C16">
      <w:pPr>
        <w:pStyle w:val="a3"/>
        <w:spacing w:before="5"/>
        <w:rPr>
          <w:sz w:val="31"/>
        </w:rPr>
      </w:pPr>
    </w:p>
    <w:p w:rsidR="00A54C16" w:rsidRDefault="0020637D">
      <w:pPr>
        <w:pStyle w:val="a4"/>
        <w:numPr>
          <w:ilvl w:val="0"/>
          <w:numId w:val="1"/>
        </w:numPr>
        <w:tabs>
          <w:tab w:val="left" w:pos="2241"/>
        </w:tabs>
        <w:ind w:left="682" w:right="114" w:firstLine="851"/>
        <w:jc w:val="both"/>
        <w:rPr>
          <w:sz w:val="28"/>
        </w:rPr>
      </w:pPr>
      <w:r>
        <w:rPr>
          <w:sz w:val="28"/>
        </w:rPr>
        <w:t xml:space="preserve">Les sénateurs requérants soutiennent que l’article 177 méconnaît le principe de légalité des délits et des peines ainsi que celui de nécessité des peines dès lors qu’il ne définit pas ce qui constitue une discrimination fondée sur le refus de participer à </w:t>
      </w:r>
      <w:r>
        <w:rPr>
          <w:sz w:val="28"/>
        </w:rPr>
        <w:t>un</w:t>
      </w:r>
      <w:r>
        <w:rPr>
          <w:spacing w:val="-18"/>
          <w:sz w:val="28"/>
        </w:rPr>
        <w:t xml:space="preserve"> </w:t>
      </w:r>
      <w:r>
        <w:rPr>
          <w:sz w:val="28"/>
        </w:rPr>
        <w:t>bizutage.</w:t>
      </w:r>
    </w:p>
    <w:p w:rsidR="00A54C16" w:rsidRDefault="00A54C16">
      <w:pPr>
        <w:pStyle w:val="a3"/>
        <w:spacing w:before="1"/>
        <w:rPr>
          <w:sz w:val="31"/>
        </w:rPr>
      </w:pPr>
    </w:p>
    <w:p w:rsidR="00A54C16" w:rsidRDefault="0020637D">
      <w:pPr>
        <w:pStyle w:val="a4"/>
        <w:numPr>
          <w:ilvl w:val="0"/>
          <w:numId w:val="1"/>
        </w:numPr>
        <w:tabs>
          <w:tab w:val="left" w:pos="2241"/>
        </w:tabs>
        <w:ind w:left="683" w:firstLine="851"/>
        <w:jc w:val="both"/>
        <w:rPr>
          <w:sz w:val="28"/>
        </w:rPr>
      </w:pPr>
      <w:r>
        <w:rPr>
          <w:color w:val="2B1212"/>
          <w:sz w:val="28"/>
        </w:rPr>
        <w:t>Selon l’article 8 de la Déclaration de 1789 : « La loi ne doit établir que des peines strictement et évidemment nécessaires, et nul ne peut être puni qu’en vertu d’une loi établie et promulguée antérieurement au délit, et légalement appliquée</w:t>
      </w:r>
      <w:r>
        <w:rPr>
          <w:color w:val="2B1212"/>
          <w:sz w:val="28"/>
        </w:rPr>
        <w:t xml:space="preserve"> ». Aux termes de l’article 34 de la Constitution : « La loi fixe les règles concernant... la détermination</w:t>
      </w:r>
      <w:r>
        <w:rPr>
          <w:color w:val="2B1212"/>
          <w:spacing w:val="-26"/>
          <w:sz w:val="28"/>
        </w:rPr>
        <w:t xml:space="preserve"> </w:t>
      </w:r>
      <w:r>
        <w:rPr>
          <w:color w:val="2B1212"/>
          <w:sz w:val="28"/>
        </w:rPr>
        <w:t>des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3"/>
        <w:jc w:val="both"/>
      </w:pPr>
      <w:r>
        <w:rPr>
          <w:color w:val="2B1212"/>
        </w:rPr>
        <w:lastRenderedPageBreak/>
        <w:t>crimes et délits ainsi que les peines qui leur sont applicables ». Le législateur tient de l’article 34 de la Constitution, ai</w:t>
      </w:r>
      <w:r>
        <w:rPr>
          <w:color w:val="2B1212"/>
        </w:rPr>
        <w:t>nsi que du principe de légalité des délits et des peines qui résulte de l’article 8 de la Déclaration de 1789, l’obligation de fixer lui-même le champ d’application de la loi pénale et de définir les crimes et délits en termes suffisamment clairs et précis</w:t>
      </w:r>
      <w:r>
        <w:rPr>
          <w:color w:val="2B1212"/>
        </w:rPr>
        <w:t xml:space="preserve">  pour exclure</w:t>
      </w:r>
      <w:r>
        <w:rPr>
          <w:color w:val="2B1212"/>
          <w:spacing w:val="-3"/>
        </w:rPr>
        <w:t xml:space="preserve"> </w:t>
      </w:r>
      <w:r>
        <w:rPr>
          <w:color w:val="2B1212"/>
        </w:rPr>
        <w:t>l’arbitraire.</w:t>
      </w:r>
    </w:p>
    <w:p w:rsidR="00A54C16" w:rsidRDefault="00A54C16">
      <w:pPr>
        <w:pStyle w:val="a3"/>
        <w:spacing w:before="3"/>
        <w:rPr>
          <w:sz w:val="31"/>
        </w:rPr>
      </w:pPr>
    </w:p>
    <w:p w:rsidR="00A54C16" w:rsidRDefault="0020637D">
      <w:pPr>
        <w:pStyle w:val="a4"/>
        <w:numPr>
          <w:ilvl w:val="0"/>
          <w:numId w:val="1"/>
        </w:numPr>
        <w:tabs>
          <w:tab w:val="left" w:pos="2241"/>
        </w:tabs>
        <w:ind w:left="682" w:right="112" w:firstLine="851"/>
        <w:jc w:val="both"/>
        <w:rPr>
          <w:sz w:val="28"/>
        </w:rPr>
      </w:pPr>
      <w:r>
        <w:rPr>
          <w:sz w:val="28"/>
        </w:rPr>
        <w:t>L’article 225-16-1 du code pénal définit le bizutage comme le fait, hors les cas de violences, de menaces ou d’atteintes sexuelles, pour  une personne d’amener autrui, contre son gré ou non, à subir ou à commettre des actes hu</w:t>
      </w:r>
      <w:r>
        <w:rPr>
          <w:sz w:val="28"/>
        </w:rPr>
        <w:t>miliants ou dégradants ou à consommer de l’alcool de manière excessive, lors de manifestations ou de réunions liées aux milieux scolaire, sportif et socio-éducatif. L’article 225-2 du même code réprime les discriminations consistant à refuser la fourniture</w:t>
      </w:r>
      <w:r>
        <w:rPr>
          <w:sz w:val="28"/>
        </w:rPr>
        <w:t xml:space="preserve"> d’un bien ou d’un service, à entraver l’exercice normal d’une activité économique, à refuser d’embaucher ou à refuser d’accepter une personne pour un stage. Par conséquent, en prévoyant que constitue une discrimination toute distinction opérée entre les p</w:t>
      </w:r>
      <w:r>
        <w:rPr>
          <w:sz w:val="28"/>
        </w:rPr>
        <w:t xml:space="preserve">ersonnes parce qu’elles ont subi ou refusé de subir des faits de bizutage, ou témoigné de tels faits, et en ajoutant la référence à cette discrimination à l’article 225-2, le législateur </w:t>
      </w:r>
      <w:r>
        <w:rPr>
          <w:color w:val="2B1212"/>
          <w:sz w:val="28"/>
        </w:rPr>
        <w:t>a précisément défini les faits constitutifs de l’incrimination contes</w:t>
      </w:r>
      <w:r>
        <w:rPr>
          <w:color w:val="2B1212"/>
          <w:sz w:val="28"/>
        </w:rPr>
        <w:t>tée. Le grief tiré de la méconnaissance du principe de légalité des délits et des peines doit donc être</w:t>
      </w:r>
      <w:r>
        <w:rPr>
          <w:color w:val="2B1212"/>
          <w:spacing w:val="-7"/>
          <w:sz w:val="28"/>
        </w:rPr>
        <w:t xml:space="preserve"> </w:t>
      </w:r>
      <w:r>
        <w:rPr>
          <w:color w:val="2B1212"/>
          <w:sz w:val="28"/>
        </w:rPr>
        <w:t>écarté.</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firstLine="851"/>
        <w:jc w:val="both"/>
        <w:rPr>
          <w:sz w:val="28"/>
        </w:rPr>
      </w:pPr>
      <w:r>
        <w:rPr>
          <w:color w:val="2B1212"/>
          <w:sz w:val="28"/>
        </w:rPr>
        <w:t>L’article 177 de la loi déférée, qui ne méconnaît pas non plus le principe de nécessité des peines, ni aucune autre exigence constitutionnelle,</w:t>
      </w:r>
      <w:r>
        <w:rPr>
          <w:color w:val="2B1212"/>
          <w:sz w:val="28"/>
        </w:rPr>
        <w:t xml:space="preserve"> est conforme à la</w:t>
      </w:r>
      <w:r>
        <w:rPr>
          <w:color w:val="2B1212"/>
          <w:spacing w:val="-8"/>
          <w:sz w:val="28"/>
        </w:rPr>
        <w:t xml:space="preserve"> </w:t>
      </w:r>
      <w:r>
        <w:rPr>
          <w:color w:val="2B1212"/>
          <w:sz w:val="28"/>
        </w:rPr>
        <w:t>Constitution</w:t>
      </w:r>
      <w:r>
        <w:rPr>
          <w:sz w:val="28"/>
        </w:rPr>
        <w:t>.</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rPr>
          <w:sz w:val="28"/>
        </w:rPr>
      </w:pPr>
      <w:r>
        <w:rPr>
          <w:sz w:val="28"/>
          <w:u w:val="single"/>
        </w:rPr>
        <w:t>Sur l’article 179</w:t>
      </w:r>
      <w:r>
        <w:rPr>
          <w:spacing w:val="-4"/>
          <w:sz w:val="28"/>
        </w:rPr>
        <w:t xml:space="preserve"> </w:t>
      </w:r>
      <w:r>
        <w:rPr>
          <w:sz w:val="28"/>
        </w:rPr>
        <w:t>:</w:t>
      </w:r>
    </w:p>
    <w:p w:rsidR="00A54C16" w:rsidRDefault="00A54C16">
      <w:pPr>
        <w:pStyle w:val="a3"/>
        <w:spacing w:before="2"/>
        <w:rPr>
          <w:sz w:val="31"/>
        </w:rPr>
      </w:pPr>
    </w:p>
    <w:p w:rsidR="00A54C16" w:rsidRDefault="0020637D">
      <w:pPr>
        <w:pStyle w:val="a4"/>
        <w:numPr>
          <w:ilvl w:val="0"/>
          <w:numId w:val="1"/>
        </w:numPr>
        <w:tabs>
          <w:tab w:val="left" w:pos="2241"/>
        </w:tabs>
        <w:spacing w:before="1"/>
        <w:ind w:left="2240" w:right="0" w:hanging="707"/>
        <w:jc w:val="both"/>
        <w:rPr>
          <w:sz w:val="28"/>
        </w:rPr>
      </w:pPr>
      <w:r>
        <w:rPr>
          <w:sz w:val="28"/>
        </w:rPr>
        <w:t>Le</w:t>
      </w:r>
      <w:r>
        <w:rPr>
          <w:spacing w:val="11"/>
          <w:sz w:val="28"/>
        </w:rPr>
        <w:t xml:space="preserve"> </w:t>
      </w:r>
      <w:r>
        <w:rPr>
          <w:sz w:val="28"/>
        </w:rPr>
        <w:t>1°</w:t>
      </w:r>
      <w:r>
        <w:rPr>
          <w:spacing w:val="11"/>
          <w:sz w:val="28"/>
        </w:rPr>
        <w:t xml:space="preserve"> </w:t>
      </w:r>
      <w:r>
        <w:rPr>
          <w:sz w:val="28"/>
        </w:rPr>
        <w:t>de</w:t>
      </w:r>
      <w:r>
        <w:rPr>
          <w:spacing w:val="8"/>
          <w:sz w:val="28"/>
        </w:rPr>
        <w:t xml:space="preserve"> </w:t>
      </w:r>
      <w:r>
        <w:rPr>
          <w:sz w:val="28"/>
        </w:rPr>
        <w:t>l’article</w:t>
      </w:r>
      <w:r>
        <w:rPr>
          <w:spacing w:val="8"/>
          <w:sz w:val="28"/>
        </w:rPr>
        <w:t xml:space="preserve"> </w:t>
      </w:r>
      <w:r>
        <w:rPr>
          <w:sz w:val="28"/>
        </w:rPr>
        <w:t>179</w:t>
      </w:r>
      <w:r>
        <w:rPr>
          <w:spacing w:val="9"/>
          <w:sz w:val="28"/>
        </w:rPr>
        <w:t xml:space="preserve"> </w:t>
      </w:r>
      <w:r>
        <w:rPr>
          <w:sz w:val="28"/>
        </w:rPr>
        <w:t>de</w:t>
      </w:r>
      <w:r>
        <w:rPr>
          <w:spacing w:val="11"/>
          <w:sz w:val="28"/>
        </w:rPr>
        <w:t xml:space="preserve"> </w:t>
      </w:r>
      <w:r>
        <w:rPr>
          <w:sz w:val="28"/>
        </w:rPr>
        <w:t>la</w:t>
      </w:r>
      <w:r>
        <w:rPr>
          <w:spacing w:val="8"/>
          <w:sz w:val="28"/>
        </w:rPr>
        <w:t xml:space="preserve"> </w:t>
      </w:r>
      <w:r>
        <w:rPr>
          <w:sz w:val="28"/>
        </w:rPr>
        <w:t>loi</w:t>
      </w:r>
      <w:r>
        <w:rPr>
          <w:spacing w:val="12"/>
          <w:sz w:val="28"/>
        </w:rPr>
        <w:t xml:space="preserve"> </w:t>
      </w:r>
      <w:r>
        <w:rPr>
          <w:sz w:val="28"/>
        </w:rPr>
        <w:t>déférée</w:t>
      </w:r>
      <w:r>
        <w:rPr>
          <w:spacing w:val="13"/>
          <w:sz w:val="28"/>
        </w:rPr>
        <w:t xml:space="preserve"> </w:t>
      </w:r>
      <w:r>
        <w:rPr>
          <w:sz w:val="28"/>
        </w:rPr>
        <w:t>modifie</w:t>
      </w:r>
      <w:r>
        <w:rPr>
          <w:spacing w:val="11"/>
          <w:sz w:val="28"/>
        </w:rPr>
        <w:t xml:space="preserve"> </w:t>
      </w:r>
      <w:r>
        <w:rPr>
          <w:sz w:val="28"/>
        </w:rPr>
        <w:t>l’article</w:t>
      </w:r>
    </w:p>
    <w:p w:rsidR="00A54C16" w:rsidRDefault="0020637D">
      <w:pPr>
        <w:pStyle w:val="a3"/>
        <w:spacing w:before="2"/>
        <w:ind w:left="682" w:right="114"/>
        <w:jc w:val="both"/>
      </w:pPr>
      <w:r>
        <w:t>L. 1132-1 du code du travail relatif à la discrimination en droit du travail. Les 2° et 3° procèdent à des coordinations dans deux autres articles du même code.</w:t>
      </w:r>
    </w:p>
    <w:p w:rsidR="00A54C16" w:rsidRDefault="00A54C16">
      <w:pPr>
        <w:pStyle w:val="a3"/>
        <w:spacing w:before="2"/>
        <w:rPr>
          <w:sz w:val="31"/>
        </w:rPr>
      </w:pPr>
    </w:p>
    <w:p w:rsidR="00A54C16" w:rsidRDefault="0020637D">
      <w:pPr>
        <w:pStyle w:val="a4"/>
        <w:numPr>
          <w:ilvl w:val="0"/>
          <w:numId w:val="1"/>
        </w:numPr>
        <w:tabs>
          <w:tab w:val="left" w:pos="2241"/>
        </w:tabs>
        <w:ind w:left="683" w:right="112" w:firstLine="851"/>
        <w:jc w:val="both"/>
        <w:rPr>
          <w:sz w:val="28"/>
        </w:rPr>
      </w:pPr>
      <w:r>
        <w:rPr>
          <w:sz w:val="28"/>
        </w:rPr>
        <w:t xml:space="preserve">Les sénateurs requérants soutiennent que le 1° de l’article </w:t>
      </w:r>
      <w:r>
        <w:rPr>
          <w:spacing w:val="-2"/>
          <w:sz w:val="28"/>
        </w:rPr>
        <w:t xml:space="preserve">179 </w:t>
      </w:r>
      <w:r>
        <w:rPr>
          <w:sz w:val="28"/>
        </w:rPr>
        <w:t>est contraire au principe de l</w:t>
      </w:r>
      <w:r>
        <w:rPr>
          <w:sz w:val="28"/>
        </w:rPr>
        <w:t>égalité des délits et des peines dès lors qu’il intègre dans l’article L. 1132-1 du code du travail la notion d’identité de genre.</w:t>
      </w:r>
    </w:p>
    <w:p w:rsidR="00A54C16" w:rsidRDefault="00A54C16">
      <w:pPr>
        <w:pStyle w:val="a3"/>
        <w:spacing w:before="4"/>
        <w:rPr>
          <w:sz w:val="31"/>
        </w:rPr>
      </w:pPr>
    </w:p>
    <w:p w:rsidR="00A54C16" w:rsidRDefault="0020637D">
      <w:pPr>
        <w:pStyle w:val="a4"/>
        <w:numPr>
          <w:ilvl w:val="0"/>
          <w:numId w:val="1"/>
        </w:numPr>
        <w:tabs>
          <w:tab w:val="left" w:pos="2242"/>
        </w:tabs>
        <w:ind w:left="683" w:firstLine="851"/>
        <w:jc w:val="both"/>
        <w:rPr>
          <w:sz w:val="28"/>
        </w:rPr>
      </w:pPr>
      <w:r>
        <w:rPr>
          <w:sz w:val="28"/>
        </w:rPr>
        <w:t>L’objectif de valeur constitutionnelle d’accessibilité et d’intelligibilité</w:t>
      </w:r>
      <w:r>
        <w:rPr>
          <w:spacing w:val="5"/>
          <w:sz w:val="28"/>
        </w:rPr>
        <w:t xml:space="preserve"> </w:t>
      </w:r>
      <w:r>
        <w:rPr>
          <w:sz w:val="28"/>
        </w:rPr>
        <w:t>de</w:t>
      </w:r>
      <w:r>
        <w:rPr>
          <w:spacing w:val="6"/>
          <w:sz w:val="28"/>
        </w:rPr>
        <w:t xml:space="preserve"> </w:t>
      </w:r>
      <w:r>
        <w:rPr>
          <w:sz w:val="28"/>
        </w:rPr>
        <w:t>la</w:t>
      </w:r>
      <w:r>
        <w:rPr>
          <w:spacing w:val="5"/>
          <w:sz w:val="28"/>
        </w:rPr>
        <w:t xml:space="preserve"> </w:t>
      </w:r>
      <w:r>
        <w:rPr>
          <w:sz w:val="28"/>
        </w:rPr>
        <w:t>loi,</w:t>
      </w:r>
      <w:r>
        <w:rPr>
          <w:spacing w:val="5"/>
          <w:sz w:val="28"/>
        </w:rPr>
        <w:t xml:space="preserve"> </w:t>
      </w:r>
      <w:r>
        <w:rPr>
          <w:sz w:val="28"/>
        </w:rPr>
        <w:t>qui</w:t>
      </w:r>
      <w:r>
        <w:rPr>
          <w:spacing w:val="6"/>
          <w:sz w:val="28"/>
        </w:rPr>
        <w:t xml:space="preserve"> </w:t>
      </w:r>
      <w:r>
        <w:rPr>
          <w:sz w:val="28"/>
        </w:rPr>
        <w:t>découle</w:t>
      </w:r>
      <w:r>
        <w:rPr>
          <w:spacing w:val="8"/>
          <w:sz w:val="28"/>
        </w:rPr>
        <w:t xml:space="preserve"> </w:t>
      </w:r>
      <w:r>
        <w:rPr>
          <w:sz w:val="28"/>
        </w:rPr>
        <w:t>des</w:t>
      </w:r>
      <w:r>
        <w:rPr>
          <w:spacing w:val="8"/>
          <w:sz w:val="28"/>
        </w:rPr>
        <w:t xml:space="preserve"> </w:t>
      </w:r>
      <w:r>
        <w:rPr>
          <w:sz w:val="28"/>
        </w:rPr>
        <w:t>articles</w:t>
      </w:r>
      <w:r>
        <w:rPr>
          <w:spacing w:val="7"/>
          <w:sz w:val="28"/>
        </w:rPr>
        <w:t xml:space="preserve"> </w:t>
      </w:r>
      <w:r>
        <w:rPr>
          <w:sz w:val="28"/>
        </w:rPr>
        <w:t>4,</w:t>
      </w:r>
      <w:r>
        <w:rPr>
          <w:spacing w:val="4"/>
          <w:sz w:val="28"/>
        </w:rPr>
        <w:t xml:space="preserve"> </w:t>
      </w:r>
      <w:r>
        <w:rPr>
          <w:sz w:val="28"/>
        </w:rPr>
        <w:t>5,</w:t>
      </w:r>
      <w:r>
        <w:rPr>
          <w:spacing w:val="8"/>
          <w:sz w:val="28"/>
        </w:rPr>
        <w:t xml:space="preserve"> </w:t>
      </w:r>
      <w:r>
        <w:rPr>
          <w:sz w:val="28"/>
        </w:rPr>
        <w:t>6</w:t>
      </w:r>
      <w:r>
        <w:rPr>
          <w:spacing w:val="6"/>
          <w:sz w:val="28"/>
        </w:rPr>
        <w:t xml:space="preserve"> </w:t>
      </w:r>
      <w:r>
        <w:rPr>
          <w:sz w:val="28"/>
        </w:rPr>
        <w:t>et</w:t>
      </w:r>
      <w:r>
        <w:rPr>
          <w:spacing w:val="7"/>
          <w:sz w:val="28"/>
        </w:rPr>
        <w:t xml:space="preserve"> </w:t>
      </w:r>
      <w:r>
        <w:rPr>
          <w:sz w:val="28"/>
        </w:rPr>
        <w:t>1</w:t>
      </w:r>
      <w:r>
        <w:rPr>
          <w:sz w:val="28"/>
        </w:rPr>
        <w:t>6</w:t>
      </w:r>
      <w:r>
        <w:rPr>
          <w:spacing w:val="8"/>
          <w:sz w:val="28"/>
        </w:rPr>
        <w:t xml:space="preserve"> </w:t>
      </w:r>
      <w:r>
        <w:rPr>
          <w:sz w:val="28"/>
        </w:rPr>
        <w:t>de</w:t>
      </w:r>
      <w:r>
        <w:rPr>
          <w:spacing w:val="6"/>
          <w:sz w:val="28"/>
        </w:rPr>
        <w:t xml:space="preserve"> </w:t>
      </w:r>
      <w:r>
        <w:rPr>
          <w:sz w:val="28"/>
        </w:rPr>
        <w:t>la</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5"/>
        <w:jc w:val="both"/>
      </w:pPr>
      <w:r>
        <w:lastRenderedPageBreak/>
        <w:t>Déclaration de 1789, impose au législateur d’adopter des dispositions suffisamment précises et des formules non équivoques. Il doit en effet prémunir les sujets de droit contre une interprétation contraire à la Constitution ou con</w:t>
      </w:r>
      <w:r>
        <w:t>tre le risque d’arbitraire, sans reporter sur des autorités administratives ou juridictionnelles le soin de fixer des règles dont la détermination n’a été confiée par la Constitution qu’à la loi.</w:t>
      </w:r>
    </w:p>
    <w:p w:rsidR="00A54C16" w:rsidRDefault="00A54C16">
      <w:pPr>
        <w:pStyle w:val="a3"/>
        <w:spacing w:before="3"/>
        <w:rPr>
          <w:sz w:val="31"/>
        </w:rPr>
      </w:pPr>
    </w:p>
    <w:p w:rsidR="00A54C16" w:rsidRDefault="0020637D">
      <w:pPr>
        <w:pStyle w:val="a4"/>
        <w:numPr>
          <w:ilvl w:val="0"/>
          <w:numId w:val="1"/>
        </w:numPr>
        <w:tabs>
          <w:tab w:val="left" w:pos="2240"/>
        </w:tabs>
        <w:ind w:left="682" w:firstLine="851"/>
        <w:jc w:val="both"/>
        <w:rPr>
          <w:sz w:val="28"/>
        </w:rPr>
      </w:pPr>
      <w:r>
        <w:rPr>
          <w:sz w:val="28"/>
        </w:rPr>
        <w:t xml:space="preserve">L’article 179 insère à l’article L. 1132-1 du code du travail, après le mot « orientation », les mots : « sexuelle, de son identité de genre, de son âge, de sa situation de famille ou de sa grossesse, de ses caractéristiques génétiques, de la particulière </w:t>
      </w:r>
      <w:r>
        <w:rPr>
          <w:sz w:val="28"/>
        </w:rPr>
        <w:t xml:space="preserve">vulnérabilité résultant de sa situation économique, apparente ou connue de son auteur, de </w:t>
      </w:r>
      <w:r>
        <w:rPr>
          <w:spacing w:val="-2"/>
          <w:sz w:val="28"/>
        </w:rPr>
        <w:t xml:space="preserve">son </w:t>
      </w:r>
      <w:r>
        <w:rPr>
          <w:sz w:val="28"/>
        </w:rPr>
        <w:t>appartenance ou de sa non-appartenance, vraie ou supposée, à une ethnie, une nation ou une prétendue race, de ses opinions politiques, de ses activités syndicales</w:t>
      </w:r>
      <w:r>
        <w:rPr>
          <w:sz w:val="28"/>
        </w:rPr>
        <w:t xml:space="preserve"> ou mutualistes, de ses convictions religieuses, de son apparence physique, de son nom de famille, de son lieu de résidence ou en raison de son état de santé, de sa perte d’autonomie ou de son handicap, de sa capacité à s’exprimer dans une langue autre que</w:t>
      </w:r>
      <w:r>
        <w:rPr>
          <w:sz w:val="28"/>
        </w:rPr>
        <w:t xml:space="preserve"> le français</w:t>
      </w:r>
      <w:r>
        <w:rPr>
          <w:spacing w:val="-19"/>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Toutefois, l’article L. 1132-1 du code du travail, dans sa version en vigueur résultant de la loi du 18 novembre 2016 mentionnée ci- dessus, ne comporte pas le mot « orientation ». Dès lors, sans qu’il soit besoin d’examiner le grief, les dispositions du 1</w:t>
      </w:r>
      <w:r>
        <w:rPr>
          <w:sz w:val="28"/>
        </w:rPr>
        <w:t>° de l’article 179 sont inintelligibles. Elles sont en conséquence, ainsi que les 2° et 3° du même article qui en sont inséparables, contraires à la</w:t>
      </w:r>
      <w:r>
        <w:rPr>
          <w:spacing w:val="-12"/>
          <w:sz w:val="28"/>
        </w:rPr>
        <w:t xml:space="preserve"> </w:t>
      </w:r>
      <w:r>
        <w:rPr>
          <w:sz w:val="28"/>
        </w:rPr>
        <w:t>Constitution.</w:t>
      </w:r>
    </w:p>
    <w:p w:rsidR="00A54C16" w:rsidRDefault="00A54C16">
      <w:pPr>
        <w:pStyle w:val="a3"/>
        <w:spacing w:before="10"/>
        <w:rPr>
          <w:sz w:val="41"/>
        </w:rPr>
      </w:pPr>
    </w:p>
    <w:p w:rsidR="00A54C16" w:rsidRDefault="0020637D">
      <w:pPr>
        <w:pStyle w:val="a4"/>
        <w:numPr>
          <w:ilvl w:val="0"/>
          <w:numId w:val="2"/>
        </w:numPr>
        <w:tabs>
          <w:tab w:val="left" w:pos="971"/>
        </w:tabs>
        <w:ind w:left="970" w:right="0"/>
        <w:rPr>
          <w:sz w:val="28"/>
        </w:rPr>
      </w:pPr>
      <w:r>
        <w:rPr>
          <w:sz w:val="28"/>
          <w:u w:val="single"/>
        </w:rPr>
        <w:t>Sur l’article 186</w:t>
      </w:r>
      <w:r>
        <w:rPr>
          <w:spacing w:val="-4"/>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spacing w:line="322" w:lineRule="exact"/>
        <w:ind w:left="2240" w:right="0" w:hanging="707"/>
        <w:jc w:val="both"/>
        <w:rPr>
          <w:sz w:val="28"/>
        </w:rPr>
      </w:pPr>
      <w:r>
        <w:rPr>
          <w:sz w:val="28"/>
        </w:rPr>
        <w:t>L’article</w:t>
      </w:r>
      <w:r>
        <w:rPr>
          <w:spacing w:val="53"/>
          <w:sz w:val="28"/>
        </w:rPr>
        <w:t xml:space="preserve"> </w:t>
      </w:r>
      <w:r>
        <w:rPr>
          <w:sz w:val="28"/>
        </w:rPr>
        <w:t>186</w:t>
      </w:r>
      <w:r>
        <w:rPr>
          <w:spacing w:val="55"/>
          <w:sz w:val="28"/>
        </w:rPr>
        <w:t xml:space="preserve"> </w:t>
      </w:r>
      <w:r>
        <w:rPr>
          <w:sz w:val="28"/>
        </w:rPr>
        <w:t>insère</w:t>
      </w:r>
      <w:r>
        <w:rPr>
          <w:spacing w:val="54"/>
          <w:sz w:val="28"/>
        </w:rPr>
        <w:t xml:space="preserve"> </w:t>
      </w:r>
      <w:r>
        <w:rPr>
          <w:sz w:val="28"/>
        </w:rPr>
        <w:t>dans</w:t>
      </w:r>
      <w:r>
        <w:rPr>
          <w:spacing w:val="55"/>
          <w:sz w:val="28"/>
        </w:rPr>
        <w:t xml:space="preserve"> </w:t>
      </w:r>
      <w:r>
        <w:rPr>
          <w:sz w:val="28"/>
        </w:rPr>
        <w:t>le</w:t>
      </w:r>
      <w:r>
        <w:rPr>
          <w:spacing w:val="57"/>
          <w:sz w:val="28"/>
        </w:rPr>
        <w:t xml:space="preserve"> </w:t>
      </w:r>
      <w:r>
        <w:rPr>
          <w:sz w:val="28"/>
        </w:rPr>
        <w:t>code</w:t>
      </w:r>
      <w:r>
        <w:rPr>
          <w:spacing w:val="54"/>
          <w:sz w:val="28"/>
        </w:rPr>
        <w:t xml:space="preserve"> </w:t>
      </w:r>
      <w:r>
        <w:rPr>
          <w:sz w:val="28"/>
        </w:rPr>
        <w:t>de</w:t>
      </w:r>
      <w:r>
        <w:rPr>
          <w:spacing w:val="56"/>
          <w:sz w:val="28"/>
        </w:rPr>
        <w:t xml:space="preserve"> </w:t>
      </w:r>
      <w:r>
        <w:rPr>
          <w:sz w:val="28"/>
        </w:rPr>
        <w:t>l’éducation</w:t>
      </w:r>
      <w:r>
        <w:rPr>
          <w:spacing w:val="58"/>
          <w:sz w:val="28"/>
        </w:rPr>
        <w:t xml:space="preserve"> </w:t>
      </w:r>
      <w:r>
        <w:rPr>
          <w:sz w:val="28"/>
        </w:rPr>
        <w:t>un</w:t>
      </w:r>
      <w:r>
        <w:rPr>
          <w:spacing w:val="58"/>
          <w:sz w:val="28"/>
        </w:rPr>
        <w:t xml:space="preserve"> </w:t>
      </w:r>
      <w:r>
        <w:rPr>
          <w:sz w:val="28"/>
        </w:rPr>
        <w:t>article</w:t>
      </w:r>
    </w:p>
    <w:p w:rsidR="00A54C16" w:rsidRDefault="0020637D">
      <w:pPr>
        <w:pStyle w:val="a3"/>
        <w:ind w:left="683" w:right="112" w:hanging="1"/>
        <w:jc w:val="both"/>
      </w:pPr>
      <w:r>
        <w:t>L. 131-13 q</w:t>
      </w:r>
      <w:r>
        <w:t>ui dispose : « L’inscription à la cantine des écoles primaires, lorsque ce service existe, est un droit pour tous les enfants scolarisés. Il ne peut être établi aucune discrimination selon leur situation ou celle de leur famille ».</w:t>
      </w:r>
    </w:p>
    <w:p w:rsidR="00A54C16" w:rsidRDefault="00A54C16">
      <w:pPr>
        <w:pStyle w:val="a3"/>
        <w:spacing w:before="4"/>
        <w:rPr>
          <w:sz w:val="31"/>
        </w:rPr>
      </w:pPr>
    </w:p>
    <w:p w:rsidR="00A54C16" w:rsidRDefault="0020637D">
      <w:pPr>
        <w:pStyle w:val="a4"/>
        <w:numPr>
          <w:ilvl w:val="0"/>
          <w:numId w:val="1"/>
        </w:numPr>
        <w:tabs>
          <w:tab w:val="left" w:pos="2241"/>
        </w:tabs>
        <w:ind w:left="683" w:right="111" w:firstLine="851"/>
        <w:jc w:val="both"/>
        <w:rPr>
          <w:sz w:val="28"/>
        </w:rPr>
      </w:pPr>
      <w:r>
        <w:rPr>
          <w:sz w:val="28"/>
        </w:rPr>
        <w:t>Les sénateurs requérant</w:t>
      </w:r>
      <w:r>
        <w:rPr>
          <w:sz w:val="28"/>
        </w:rPr>
        <w:t xml:space="preserve">s soutiennent que ces dispositions </w:t>
      </w:r>
      <w:r>
        <w:rPr>
          <w:color w:val="2B1212"/>
          <w:sz w:val="28"/>
        </w:rPr>
        <w:t>entraînent, à la charge des collectivités territoriales, des dépenses nouvelles qui ne font l’objet d’aucune compensation financière</w:t>
      </w:r>
      <w:r>
        <w:rPr>
          <w:sz w:val="28"/>
        </w:rPr>
        <w:t>. Ils reprochent également à ces dispositions de méconnaître le principe d’égalité devant</w:t>
      </w:r>
      <w:r>
        <w:rPr>
          <w:sz w:val="28"/>
        </w:rPr>
        <w:t xml:space="preserve"> la loi dès lors que le droit des élèves de l’enseignement primaire à être inscrits à la cantine est subordonné à l’existence préalable d’un service de restauration</w:t>
      </w:r>
      <w:r>
        <w:rPr>
          <w:spacing w:val="-3"/>
          <w:sz w:val="28"/>
        </w:rPr>
        <w:t xml:space="preserve"> </w:t>
      </w:r>
      <w:r>
        <w:rPr>
          <w:sz w:val="28"/>
        </w:rPr>
        <w:t>scolaire.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firstLine="851"/>
        <w:jc w:val="both"/>
        <w:rPr>
          <w:sz w:val="28"/>
        </w:rPr>
      </w:pPr>
      <w:r>
        <w:rPr>
          <w:sz w:val="28"/>
        </w:rPr>
        <w:lastRenderedPageBreak/>
        <w:t>En premier lieu, selon le quatrième alinéa de l’article 72-2 de</w:t>
      </w:r>
      <w:r>
        <w:rPr>
          <w:sz w:val="28"/>
        </w:rPr>
        <w:t xml:space="preserve"> la Constitution : « Tout transfert de compétences entre l’État et les collectivités territoriales s’accompagne de l’attribution de ressources équivalentes à celles qui étaient consacrées à leur exercice. Toute création ou extension de compétences ayant po</w:t>
      </w:r>
      <w:r>
        <w:rPr>
          <w:sz w:val="28"/>
        </w:rPr>
        <w:t xml:space="preserve">ur conséquence d’augmenter les dépenses des collectivités territoriales est accompagnée de ressources déterminées par la loi ». </w:t>
      </w:r>
      <w:r>
        <w:rPr>
          <w:color w:val="2B1212"/>
          <w:sz w:val="28"/>
        </w:rPr>
        <w:t>C</w:t>
      </w:r>
      <w:r>
        <w:rPr>
          <w:sz w:val="28"/>
        </w:rPr>
        <w:t>es dispositions ne visent, en ce qui concerne les créations et extensions de compétences, que celles qui présentent un caractèr</w:t>
      </w:r>
      <w:r>
        <w:rPr>
          <w:sz w:val="28"/>
        </w:rPr>
        <w:t>e</w:t>
      </w:r>
      <w:r>
        <w:rPr>
          <w:spacing w:val="-4"/>
          <w:sz w:val="28"/>
        </w:rPr>
        <w:t xml:space="preserve"> </w:t>
      </w:r>
      <w:r>
        <w:rPr>
          <w:sz w:val="28"/>
        </w:rPr>
        <w:t>obligatoire.</w:t>
      </w:r>
    </w:p>
    <w:p w:rsidR="00A54C16" w:rsidRDefault="00A54C16">
      <w:pPr>
        <w:pStyle w:val="a3"/>
        <w:spacing w:before="4"/>
        <w:rPr>
          <w:sz w:val="31"/>
        </w:rPr>
      </w:pPr>
    </w:p>
    <w:p w:rsidR="00A54C16" w:rsidRDefault="0020637D">
      <w:pPr>
        <w:pStyle w:val="a4"/>
        <w:numPr>
          <w:ilvl w:val="0"/>
          <w:numId w:val="1"/>
        </w:numPr>
        <w:tabs>
          <w:tab w:val="left" w:pos="2241"/>
        </w:tabs>
        <w:ind w:left="682" w:firstLine="852"/>
        <w:jc w:val="both"/>
        <w:rPr>
          <w:sz w:val="28"/>
        </w:rPr>
      </w:pPr>
      <w:r>
        <w:rPr>
          <w:sz w:val="28"/>
        </w:rPr>
        <w:t xml:space="preserve">Si la première phrase de l’article L. 131-13 du code de l’éducation prévoit que tous les enfants scolarisés en école primaire ont le droit d’être inscrits à la cantine, c’est à la condition que ce service existe. Ces dispositions n’ont </w:t>
      </w:r>
      <w:r>
        <w:rPr>
          <w:color w:val="2B1212"/>
          <w:sz w:val="28"/>
        </w:rPr>
        <w:t xml:space="preserve">donc ni pour objet ni pour effet de rendre obligatoire la création d’un </w:t>
      </w:r>
      <w:r>
        <w:rPr>
          <w:sz w:val="28"/>
        </w:rPr>
        <w:t xml:space="preserve">service public de restauration scolaire dans les écoles primaires. </w:t>
      </w:r>
      <w:r>
        <w:rPr>
          <w:color w:val="2B1212"/>
          <w:sz w:val="28"/>
        </w:rPr>
        <w:t>Dès lors, s’agissant de compétences dont l’exercice demeure facultatif, le grief tiré du non-respect de l’article 72-</w:t>
      </w:r>
      <w:r>
        <w:rPr>
          <w:color w:val="2B1212"/>
          <w:sz w:val="28"/>
        </w:rPr>
        <w:t>2 de la Constitution doit être</w:t>
      </w:r>
      <w:r>
        <w:rPr>
          <w:color w:val="2B1212"/>
          <w:spacing w:val="-5"/>
          <w:sz w:val="28"/>
        </w:rPr>
        <w:t xml:space="preserve"> </w:t>
      </w:r>
      <w:r>
        <w:rPr>
          <w:color w:val="2B1212"/>
          <w:sz w:val="28"/>
        </w:rPr>
        <w:t>écarté.</w:t>
      </w:r>
    </w:p>
    <w:p w:rsidR="00A54C16" w:rsidRDefault="00A54C16">
      <w:pPr>
        <w:pStyle w:val="a3"/>
        <w:spacing w:before="2"/>
        <w:rPr>
          <w:sz w:val="31"/>
        </w:rPr>
      </w:pPr>
    </w:p>
    <w:p w:rsidR="00A54C16" w:rsidRDefault="0020637D">
      <w:pPr>
        <w:pStyle w:val="a4"/>
        <w:numPr>
          <w:ilvl w:val="0"/>
          <w:numId w:val="1"/>
        </w:numPr>
        <w:tabs>
          <w:tab w:val="left" w:pos="2240"/>
        </w:tabs>
        <w:ind w:left="682" w:firstLine="852"/>
        <w:jc w:val="both"/>
        <w:rPr>
          <w:sz w:val="28"/>
        </w:rPr>
      </w:pPr>
      <w:r>
        <w:rPr>
          <w:sz w:val="28"/>
        </w:rPr>
        <w:t>En second lieu, selon l’article 6 de la Déclaration de 1789, la loi « doit être la même pour tous, soit qu’elle  protège,  soit  qu’elle  punisse ». Le principe d’égalité devant la loi ne s’oppose ni à ce que législateur règle de façon différente des situa</w:t>
      </w:r>
      <w:r>
        <w:rPr>
          <w:sz w:val="28"/>
        </w:rPr>
        <w:t>tions différentes, ni à ce qu’il déroge à l’égalité pour des raisons d’intérêt général, pourvu que, dans l’un et l’autre cas, la différence de traitement qui en résulte soit en rapport direct avec l’objet de la loi qui</w:t>
      </w:r>
      <w:r>
        <w:rPr>
          <w:spacing w:val="-8"/>
          <w:sz w:val="28"/>
        </w:rPr>
        <w:t xml:space="preserve"> </w:t>
      </w:r>
      <w:r>
        <w:rPr>
          <w:sz w:val="28"/>
        </w:rPr>
        <w:t>l’établit.</w:t>
      </w:r>
    </w:p>
    <w:p w:rsidR="00A54C16" w:rsidRDefault="00A54C16">
      <w:pPr>
        <w:pStyle w:val="a3"/>
        <w:spacing w:before="3"/>
        <w:rPr>
          <w:sz w:val="31"/>
        </w:rPr>
      </w:pPr>
    </w:p>
    <w:p w:rsidR="00A54C16" w:rsidRDefault="0020637D">
      <w:pPr>
        <w:pStyle w:val="a4"/>
        <w:numPr>
          <w:ilvl w:val="0"/>
          <w:numId w:val="1"/>
        </w:numPr>
        <w:tabs>
          <w:tab w:val="left" w:pos="2240"/>
        </w:tabs>
        <w:ind w:left="682" w:firstLine="851"/>
        <w:jc w:val="both"/>
        <w:rPr>
          <w:sz w:val="28"/>
        </w:rPr>
      </w:pPr>
      <w:r>
        <w:rPr>
          <w:sz w:val="28"/>
        </w:rPr>
        <w:t>Les élèves de l’enseignem</w:t>
      </w:r>
      <w:r>
        <w:rPr>
          <w:sz w:val="28"/>
        </w:rPr>
        <w:t>ent primaire scolarisés dans une commune ayant mis en place un service de restauration scolaire ne sont pas placés dans la même situation que ceux scolarisés dans une commune n’ayant pas mis en place un tel service. Dès lors, la différence de traitement ét</w:t>
      </w:r>
      <w:r>
        <w:rPr>
          <w:sz w:val="28"/>
        </w:rPr>
        <w:t xml:space="preserve">ablie par les dispositions contestées entre les uns et les autres, au regard du droit d’accès à ce service de restauration scolaire, repose sur une différence de situation. Cette différence de traitement est en rapport direct avec l’objet de loi. Le grief </w:t>
      </w:r>
      <w:r>
        <w:rPr>
          <w:sz w:val="28"/>
        </w:rPr>
        <w:t>tiré de la méconnaissance du principe d’égalité devant la loi doit donc être</w:t>
      </w:r>
      <w:r>
        <w:rPr>
          <w:spacing w:val="-5"/>
          <w:sz w:val="28"/>
        </w:rPr>
        <w:t xml:space="preserve"> </w:t>
      </w:r>
      <w:r>
        <w:rPr>
          <w:sz w:val="28"/>
        </w:rPr>
        <w:t>écarté.</w:t>
      </w:r>
    </w:p>
    <w:p w:rsidR="00A54C16" w:rsidRDefault="00A54C16">
      <w:pPr>
        <w:pStyle w:val="a3"/>
        <w:spacing w:before="4"/>
        <w:rPr>
          <w:sz w:val="31"/>
        </w:rPr>
      </w:pPr>
    </w:p>
    <w:p w:rsidR="00A54C16" w:rsidRDefault="0020637D">
      <w:pPr>
        <w:pStyle w:val="a4"/>
        <w:numPr>
          <w:ilvl w:val="0"/>
          <w:numId w:val="1"/>
        </w:numPr>
        <w:tabs>
          <w:tab w:val="left" w:pos="2240"/>
        </w:tabs>
        <w:spacing w:before="1"/>
        <w:ind w:left="682" w:right="114" w:firstLine="851"/>
        <w:jc w:val="both"/>
        <w:rPr>
          <w:sz w:val="28"/>
        </w:rPr>
      </w:pPr>
      <w:r>
        <w:rPr>
          <w:color w:val="2B1212"/>
          <w:sz w:val="28"/>
        </w:rPr>
        <w:t>L’article 186 de la loi déférée, qui ne méconnaît aucune autre exigence constitutionnelle, est conforme à la</w:t>
      </w:r>
      <w:r>
        <w:rPr>
          <w:color w:val="2B1212"/>
          <w:spacing w:val="-6"/>
          <w:sz w:val="28"/>
        </w:rPr>
        <w:t xml:space="preserve"> </w:t>
      </w:r>
      <w:r>
        <w:rPr>
          <w:color w:val="2B1212"/>
          <w:sz w:val="28"/>
        </w:rPr>
        <w:t>Constitution.</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2"/>
        </w:numPr>
        <w:tabs>
          <w:tab w:val="left" w:pos="971"/>
        </w:tabs>
        <w:spacing w:before="79"/>
        <w:ind w:left="970" w:right="0"/>
        <w:rPr>
          <w:sz w:val="28"/>
        </w:rPr>
      </w:pPr>
      <w:r>
        <w:rPr>
          <w:sz w:val="28"/>
          <w:u w:val="single"/>
        </w:rPr>
        <w:lastRenderedPageBreak/>
        <w:t>Sur l’article 217</w:t>
      </w:r>
      <w:r>
        <w:rPr>
          <w:spacing w:val="-4"/>
          <w:sz w:val="28"/>
        </w:rPr>
        <w:t xml:space="preserve"> </w:t>
      </w:r>
      <w:r>
        <w:rPr>
          <w:sz w:val="28"/>
        </w:rPr>
        <w:t>:</w:t>
      </w:r>
    </w:p>
    <w:p w:rsidR="00A54C16" w:rsidRDefault="00A54C16">
      <w:pPr>
        <w:pStyle w:val="a3"/>
        <w:spacing w:before="5"/>
        <w:rPr>
          <w:sz w:val="31"/>
        </w:rPr>
      </w:pPr>
    </w:p>
    <w:p w:rsidR="00A54C16" w:rsidRDefault="0020637D">
      <w:pPr>
        <w:pStyle w:val="a4"/>
        <w:numPr>
          <w:ilvl w:val="0"/>
          <w:numId w:val="1"/>
        </w:numPr>
        <w:tabs>
          <w:tab w:val="left" w:pos="2241"/>
        </w:tabs>
        <w:ind w:left="682" w:firstLine="852"/>
        <w:jc w:val="both"/>
        <w:rPr>
          <w:sz w:val="28"/>
        </w:rPr>
      </w:pPr>
      <w:r>
        <w:rPr>
          <w:sz w:val="28"/>
        </w:rPr>
        <w:t>L’articl</w:t>
      </w:r>
      <w:r>
        <w:rPr>
          <w:sz w:val="28"/>
        </w:rPr>
        <w:t>e 217 de la loi déférée instaure un fonds de participation au financement de l’action de groupe. Ce fonds est alimenté par la majoration des amendes prononcées par les juridictions répressives lors de procès à l’occasion desquels est portée devant elles un</w:t>
      </w:r>
      <w:r>
        <w:rPr>
          <w:sz w:val="28"/>
        </w:rPr>
        <w:t>e des actions de groupe mentionnées à l’article 60 de la loi du 18 novembre</w:t>
      </w:r>
      <w:r>
        <w:rPr>
          <w:spacing w:val="-16"/>
          <w:sz w:val="28"/>
        </w:rPr>
        <w:t xml:space="preserve"> </w:t>
      </w:r>
      <w:r>
        <w:rPr>
          <w:sz w:val="28"/>
        </w:rPr>
        <w:t>2016.</w:t>
      </w:r>
    </w:p>
    <w:p w:rsidR="00A54C16" w:rsidRDefault="00A54C16">
      <w:pPr>
        <w:pStyle w:val="a3"/>
        <w:spacing w:before="1"/>
        <w:rPr>
          <w:sz w:val="31"/>
        </w:rPr>
      </w:pPr>
    </w:p>
    <w:p w:rsidR="00A54C16" w:rsidRDefault="0020637D">
      <w:pPr>
        <w:pStyle w:val="a4"/>
        <w:numPr>
          <w:ilvl w:val="0"/>
          <w:numId w:val="1"/>
        </w:numPr>
        <w:tabs>
          <w:tab w:val="left" w:pos="2240"/>
        </w:tabs>
        <w:ind w:right="114" w:firstLine="851"/>
        <w:jc w:val="both"/>
        <w:rPr>
          <w:sz w:val="28"/>
        </w:rPr>
      </w:pPr>
      <w:r>
        <w:rPr>
          <w:sz w:val="28"/>
        </w:rPr>
        <w:t>Les sénateurs et les députés requérants reprochent à ces dispositions de méconnaître, par leur imprécision, l’objectif de valeur constitutionnelle d’accessibilité et d’intelligibilité de la loi et le principe de légalité des délits et des peines. Ils estim</w:t>
      </w:r>
      <w:r>
        <w:rPr>
          <w:sz w:val="28"/>
        </w:rPr>
        <w:t>ent aussi que ces dispositions sont contraires au principe d’égalité devant la loi, dans la mesure où la majoration d’amende n’est encourue que si l’action de groupe est portée devant la juridiction répressive et non devant la juridiction civile. Ces dispo</w:t>
      </w:r>
      <w:r>
        <w:rPr>
          <w:sz w:val="28"/>
        </w:rPr>
        <w:t>sitions porteraient en outre atteinte au principe de nécessité et de proportionnalité des</w:t>
      </w:r>
      <w:r>
        <w:rPr>
          <w:spacing w:val="-4"/>
          <w:sz w:val="28"/>
        </w:rPr>
        <w:t xml:space="preserve"> </w:t>
      </w:r>
      <w:r>
        <w:rPr>
          <w:sz w:val="28"/>
        </w:rPr>
        <w:t>peines.</w:t>
      </w:r>
    </w:p>
    <w:p w:rsidR="00A54C16" w:rsidRDefault="00A54C16">
      <w:pPr>
        <w:pStyle w:val="a3"/>
        <w:spacing w:before="5"/>
        <w:rPr>
          <w:sz w:val="31"/>
        </w:rPr>
      </w:pPr>
    </w:p>
    <w:p w:rsidR="00A54C16" w:rsidRDefault="0020637D">
      <w:pPr>
        <w:pStyle w:val="a4"/>
        <w:numPr>
          <w:ilvl w:val="0"/>
          <w:numId w:val="1"/>
        </w:numPr>
        <w:tabs>
          <w:tab w:val="left" w:pos="2240"/>
        </w:tabs>
        <w:ind w:right="114" w:firstLine="851"/>
        <w:jc w:val="both"/>
        <w:rPr>
          <w:sz w:val="28"/>
        </w:rPr>
      </w:pPr>
      <w:r>
        <w:rPr>
          <w:sz w:val="28"/>
        </w:rPr>
        <w:t>Les députés requérants font aussi valoir qu’en réservant aux seuls demandeurs à une action de groupe le bénéfice des financements versés par le fonds créé pa</w:t>
      </w:r>
      <w:r>
        <w:rPr>
          <w:sz w:val="28"/>
        </w:rPr>
        <w:t>r l’article 217, le législateur a méconnu le principe d’égalité devant la justice et celui du respect des droits de la défense. Ils estiment par ailleurs que cet article n’a pas sa place dans cette loi, au motif qu’il a été introduit en première lecture se</w:t>
      </w:r>
      <w:r>
        <w:rPr>
          <w:sz w:val="28"/>
        </w:rPr>
        <w:t>lon une procédure contraire à l’article 45 de la</w:t>
      </w:r>
      <w:r>
        <w:rPr>
          <w:spacing w:val="-10"/>
          <w:sz w:val="28"/>
        </w:rPr>
        <w:t xml:space="preserve"> </w:t>
      </w:r>
      <w:r>
        <w:rPr>
          <w:sz w:val="28"/>
        </w:rPr>
        <w:t>Constitution.</w:t>
      </w:r>
    </w:p>
    <w:p w:rsidR="00A54C16" w:rsidRDefault="00A54C16">
      <w:pPr>
        <w:pStyle w:val="a3"/>
        <w:spacing w:before="3"/>
        <w:rPr>
          <w:sz w:val="31"/>
        </w:rPr>
      </w:pPr>
    </w:p>
    <w:p w:rsidR="00A54C16" w:rsidRDefault="0020637D">
      <w:pPr>
        <w:pStyle w:val="a4"/>
        <w:numPr>
          <w:ilvl w:val="0"/>
          <w:numId w:val="1"/>
        </w:numPr>
        <w:tabs>
          <w:tab w:val="left" w:pos="2240"/>
        </w:tabs>
        <w:spacing w:line="322" w:lineRule="exact"/>
        <w:ind w:left="2239" w:right="0" w:hanging="707"/>
        <w:jc w:val="both"/>
        <w:rPr>
          <w:sz w:val="28"/>
        </w:rPr>
      </w:pPr>
      <w:r>
        <w:rPr>
          <w:sz w:val="28"/>
        </w:rPr>
        <w:t>En vertu de l’article 3 du code de procédure</w:t>
      </w:r>
      <w:r>
        <w:rPr>
          <w:spacing w:val="28"/>
          <w:sz w:val="28"/>
        </w:rPr>
        <w:t xml:space="preserve"> </w:t>
      </w:r>
      <w:r>
        <w:rPr>
          <w:sz w:val="28"/>
        </w:rPr>
        <w:t>pénale,</w:t>
      </w:r>
    </w:p>
    <w:p w:rsidR="00A54C16" w:rsidRDefault="0020637D">
      <w:pPr>
        <w:pStyle w:val="a3"/>
        <w:ind w:left="681" w:right="115"/>
        <w:jc w:val="both"/>
      </w:pPr>
      <w:r>
        <w:t>« L’action civile peut être exercée en même temps que l’action publique et devant la même juridiction ». Toutefois, en vertu de l’article 4</w:t>
      </w:r>
      <w:r>
        <w:t xml:space="preserve"> du </w:t>
      </w:r>
      <w:r>
        <w:rPr>
          <w:spacing w:val="-4"/>
        </w:rPr>
        <w:t>même</w:t>
      </w:r>
      <w:r>
        <w:rPr>
          <w:spacing w:val="62"/>
        </w:rPr>
        <w:t xml:space="preserve"> </w:t>
      </w:r>
      <w:r>
        <w:t>code, cette action peut également « être exercée devant une juridiction civile, séparément de l’action publique ».</w:t>
      </w:r>
    </w:p>
    <w:p w:rsidR="00A54C16" w:rsidRDefault="00A54C16">
      <w:pPr>
        <w:pStyle w:val="a3"/>
        <w:spacing w:before="4"/>
        <w:rPr>
          <w:sz w:val="31"/>
        </w:rPr>
      </w:pPr>
    </w:p>
    <w:p w:rsidR="00A54C16" w:rsidRDefault="0020637D">
      <w:pPr>
        <w:pStyle w:val="a4"/>
        <w:numPr>
          <w:ilvl w:val="0"/>
          <w:numId w:val="1"/>
        </w:numPr>
        <w:tabs>
          <w:tab w:val="left" w:pos="2240"/>
        </w:tabs>
        <w:ind w:left="682" w:firstLine="851"/>
        <w:jc w:val="both"/>
        <w:rPr>
          <w:sz w:val="28"/>
        </w:rPr>
      </w:pPr>
      <w:r>
        <w:rPr>
          <w:sz w:val="28"/>
        </w:rPr>
        <w:t xml:space="preserve">En tout état de cause, les dispositions contestées subordonnent la majoration de l’amende prononcée par une juridiction répressive </w:t>
      </w:r>
      <w:r>
        <w:rPr>
          <w:sz w:val="28"/>
        </w:rPr>
        <w:t>à la condition que la partie civile ait porté devant elle son action de groupe. En faisant ainsi dépendre la sanction encourue du choix de la partie civile de porter son action devant le juge pénal plutôt que devant le juge civil, les dispositions contesté</w:t>
      </w:r>
      <w:r>
        <w:rPr>
          <w:sz w:val="28"/>
        </w:rPr>
        <w:t>es créent, entre les défendeurs, une différence de traitement</w:t>
      </w:r>
      <w:r>
        <w:rPr>
          <w:spacing w:val="-7"/>
          <w:sz w:val="28"/>
        </w:rPr>
        <w:t xml:space="preserve"> </w:t>
      </w:r>
      <w:r>
        <w:rPr>
          <w:sz w:val="28"/>
        </w:rPr>
        <w:t>injustifiée.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right="112" w:firstLine="851"/>
        <w:jc w:val="both"/>
        <w:rPr>
          <w:sz w:val="28"/>
        </w:rPr>
      </w:pPr>
      <w:r>
        <w:rPr>
          <w:sz w:val="28"/>
        </w:rPr>
        <w:lastRenderedPageBreak/>
        <w:t>Sans qu’il soit besoin de se prononcer sur les autres griefs, l’article 217 de la loi déférée, qui méconnaît ainsi le principe d’égalité devant la loi, est donc co</w:t>
      </w:r>
      <w:r>
        <w:rPr>
          <w:sz w:val="28"/>
        </w:rPr>
        <w:t>ntraire à la</w:t>
      </w:r>
      <w:r>
        <w:rPr>
          <w:spacing w:val="-13"/>
          <w:sz w:val="28"/>
        </w:rPr>
        <w:t xml:space="preserve"> </w:t>
      </w:r>
      <w:r>
        <w:rPr>
          <w:sz w:val="28"/>
        </w:rPr>
        <w:t>Constitution.</w:t>
      </w:r>
    </w:p>
    <w:p w:rsidR="00A54C16" w:rsidRDefault="00A54C16">
      <w:pPr>
        <w:pStyle w:val="a3"/>
        <w:spacing w:before="9"/>
        <w:rPr>
          <w:sz w:val="41"/>
        </w:rPr>
      </w:pPr>
    </w:p>
    <w:p w:rsidR="00A54C16" w:rsidRDefault="0020637D">
      <w:pPr>
        <w:pStyle w:val="a4"/>
        <w:numPr>
          <w:ilvl w:val="0"/>
          <w:numId w:val="2"/>
        </w:numPr>
        <w:tabs>
          <w:tab w:val="left" w:pos="971"/>
        </w:tabs>
        <w:ind w:left="970" w:right="0"/>
        <w:jc w:val="left"/>
        <w:rPr>
          <w:sz w:val="28"/>
        </w:rPr>
      </w:pPr>
      <w:r>
        <w:rPr>
          <w:sz w:val="28"/>
          <w:u w:val="single"/>
        </w:rPr>
        <w:t>Sur les dispositions dont la portée normative est contestée</w:t>
      </w:r>
      <w:r>
        <w:rPr>
          <w:spacing w:val="-12"/>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right="112" w:firstLine="851"/>
        <w:jc w:val="both"/>
        <w:rPr>
          <w:sz w:val="28"/>
        </w:rPr>
      </w:pPr>
      <w:r>
        <w:rPr>
          <w:sz w:val="28"/>
        </w:rPr>
        <w:t>Les sénateurs requérants soutiennent que les articles 33, 45, 55, 187, 190 et 223 de la loi déférée sont dépourvus de portée</w:t>
      </w:r>
      <w:r>
        <w:rPr>
          <w:spacing w:val="-22"/>
          <w:sz w:val="28"/>
        </w:rPr>
        <w:t xml:space="preserve"> </w:t>
      </w:r>
      <w:r>
        <w:rPr>
          <w:sz w:val="28"/>
        </w:rPr>
        <w:t>normative.</w:t>
      </w:r>
    </w:p>
    <w:p w:rsidR="00A54C16" w:rsidRDefault="00A54C16">
      <w:pPr>
        <w:pStyle w:val="a3"/>
        <w:spacing w:before="2"/>
        <w:rPr>
          <w:sz w:val="31"/>
        </w:rPr>
      </w:pPr>
    </w:p>
    <w:p w:rsidR="00A54C16" w:rsidRDefault="0020637D">
      <w:pPr>
        <w:pStyle w:val="a4"/>
        <w:numPr>
          <w:ilvl w:val="0"/>
          <w:numId w:val="1"/>
        </w:numPr>
        <w:tabs>
          <w:tab w:val="left" w:pos="2241"/>
        </w:tabs>
        <w:ind w:left="682" w:firstLine="851"/>
        <w:jc w:val="both"/>
        <w:rPr>
          <w:sz w:val="28"/>
        </w:rPr>
      </w:pPr>
      <w:r>
        <w:rPr>
          <w:sz w:val="28"/>
        </w:rPr>
        <w:t>Selon l’article 6 de la Déclaration de 1789 : « La loi est l’expression de la volonté générale ... ». Il résulte de cet article comme de l’ensemble des autres normes de valeur constitutionnelle relatives à l’objet de la loi que, sous réserve de disposition</w:t>
      </w:r>
      <w:r>
        <w:rPr>
          <w:sz w:val="28"/>
        </w:rPr>
        <w:t>s particulières prévues par la Constitution, la loi a pour vocation d’énoncer des règles et doit par suite être revêtue d’une portée</w:t>
      </w:r>
      <w:r>
        <w:rPr>
          <w:spacing w:val="-7"/>
          <w:sz w:val="28"/>
        </w:rPr>
        <w:t xml:space="preserve"> </w:t>
      </w:r>
      <w:r>
        <w:rPr>
          <w:sz w:val="28"/>
        </w:rPr>
        <w:t>normative.</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right="114" w:firstLine="851"/>
        <w:jc w:val="both"/>
        <w:rPr>
          <w:sz w:val="28"/>
        </w:rPr>
      </w:pPr>
      <w:r>
        <w:rPr>
          <w:sz w:val="28"/>
        </w:rPr>
        <w:t xml:space="preserve">L’article 33 prévoit que, dans le cadre de l’enseignement moral et civique, les collégiens et les lycéens sont </w:t>
      </w:r>
      <w:r>
        <w:rPr>
          <w:sz w:val="28"/>
        </w:rPr>
        <w:t>incités à participer à un projet citoyen au sein d’une association d’intérêt</w:t>
      </w:r>
      <w:r>
        <w:rPr>
          <w:spacing w:val="-8"/>
          <w:sz w:val="28"/>
        </w:rPr>
        <w:t xml:space="preserve"> </w:t>
      </w:r>
      <w:r>
        <w:rPr>
          <w:sz w:val="28"/>
        </w:rPr>
        <w:t>général.</w:t>
      </w:r>
    </w:p>
    <w:p w:rsidR="00A54C16" w:rsidRDefault="00A54C16">
      <w:pPr>
        <w:pStyle w:val="a3"/>
        <w:spacing w:before="4"/>
        <w:rPr>
          <w:sz w:val="31"/>
        </w:rPr>
      </w:pPr>
    </w:p>
    <w:p w:rsidR="00A54C16" w:rsidRDefault="0020637D">
      <w:pPr>
        <w:pStyle w:val="a4"/>
        <w:numPr>
          <w:ilvl w:val="0"/>
          <w:numId w:val="1"/>
        </w:numPr>
        <w:tabs>
          <w:tab w:val="left" w:pos="2241"/>
        </w:tabs>
        <w:ind w:left="682" w:right="115" w:firstLine="851"/>
        <w:jc w:val="both"/>
        <w:rPr>
          <w:sz w:val="28"/>
        </w:rPr>
      </w:pPr>
      <w:r>
        <w:rPr>
          <w:sz w:val="28"/>
        </w:rPr>
        <w:t>L’article 55 permet à une collectivité territoriale ou à un établissement public de coopération intercommunale de créer un « conseil de jeunes » pour émettre un avis sur</w:t>
      </w:r>
      <w:r>
        <w:rPr>
          <w:sz w:val="28"/>
        </w:rPr>
        <w:t xml:space="preserve"> les décisions relevant notamment de la politique de la</w:t>
      </w:r>
      <w:r>
        <w:rPr>
          <w:spacing w:val="-6"/>
          <w:sz w:val="28"/>
        </w:rPr>
        <w:t xml:space="preserve"> </w:t>
      </w:r>
      <w:r>
        <w:rPr>
          <w:sz w:val="28"/>
        </w:rPr>
        <w:t>jeunesse.</w:t>
      </w:r>
    </w:p>
    <w:p w:rsidR="00A54C16" w:rsidRDefault="00A54C16">
      <w:pPr>
        <w:pStyle w:val="a3"/>
        <w:spacing w:before="2"/>
        <w:rPr>
          <w:sz w:val="31"/>
        </w:rPr>
      </w:pPr>
    </w:p>
    <w:p w:rsidR="00A54C16" w:rsidRDefault="0020637D">
      <w:pPr>
        <w:pStyle w:val="a4"/>
        <w:numPr>
          <w:ilvl w:val="0"/>
          <w:numId w:val="1"/>
        </w:numPr>
        <w:tabs>
          <w:tab w:val="left" w:pos="2241"/>
        </w:tabs>
        <w:ind w:left="2240" w:right="0" w:hanging="707"/>
        <w:jc w:val="both"/>
        <w:rPr>
          <w:sz w:val="28"/>
        </w:rPr>
      </w:pPr>
      <w:r>
        <w:rPr>
          <w:sz w:val="28"/>
        </w:rPr>
        <w:t>L’article</w:t>
      </w:r>
      <w:r>
        <w:rPr>
          <w:spacing w:val="39"/>
          <w:sz w:val="28"/>
        </w:rPr>
        <w:t xml:space="preserve"> </w:t>
      </w:r>
      <w:r>
        <w:rPr>
          <w:sz w:val="28"/>
        </w:rPr>
        <w:t>187</w:t>
      </w:r>
      <w:r>
        <w:rPr>
          <w:spacing w:val="40"/>
          <w:sz w:val="28"/>
        </w:rPr>
        <w:t xml:space="preserve"> </w:t>
      </w:r>
      <w:r>
        <w:rPr>
          <w:sz w:val="28"/>
        </w:rPr>
        <w:t>insère,</w:t>
      </w:r>
      <w:r>
        <w:rPr>
          <w:spacing w:val="38"/>
          <w:sz w:val="28"/>
        </w:rPr>
        <w:t xml:space="preserve"> </w:t>
      </w:r>
      <w:r>
        <w:rPr>
          <w:sz w:val="28"/>
        </w:rPr>
        <w:t>dans</w:t>
      </w:r>
      <w:r>
        <w:rPr>
          <w:spacing w:val="40"/>
          <w:sz w:val="28"/>
        </w:rPr>
        <w:t xml:space="preserve"> </w:t>
      </w:r>
      <w:r>
        <w:rPr>
          <w:sz w:val="28"/>
        </w:rPr>
        <w:t>le</w:t>
      </w:r>
      <w:r>
        <w:rPr>
          <w:spacing w:val="43"/>
          <w:sz w:val="28"/>
        </w:rPr>
        <w:t xml:space="preserve"> </w:t>
      </w:r>
      <w:r>
        <w:rPr>
          <w:sz w:val="28"/>
        </w:rPr>
        <w:t>code</w:t>
      </w:r>
      <w:r>
        <w:rPr>
          <w:spacing w:val="39"/>
          <w:sz w:val="28"/>
        </w:rPr>
        <w:t xml:space="preserve"> </w:t>
      </w:r>
      <w:r>
        <w:rPr>
          <w:sz w:val="28"/>
        </w:rPr>
        <w:t>de</w:t>
      </w:r>
      <w:r>
        <w:rPr>
          <w:spacing w:val="39"/>
          <w:sz w:val="28"/>
        </w:rPr>
        <w:t xml:space="preserve"> </w:t>
      </w:r>
      <w:r>
        <w:rPr>
          <w:sz w:val="28"/>
        </w:rPr>
        <w:t>l’éducation,</w:t>
      </w:r>
      <w:r>
        <w:rPr>
          <w:spacing w:val="38"/>
          <w:sz w:val="28"/>
        </w:rPr>
        <w:t xml:space="preserve"> </w:t>
      </w:r>
      <w:r>
        <w:rPr>
          <w:sz w:val="28"/>
        </w:rPr>
        <w:t>un</w:t>
      </w:r>
      <w:r>
        <w:rPr>
          <w:spacing w:val="43"/>
          <w:sz w:val="28"/>
        </w:rPr>
        <w:t xml:space="preserve"> </w:t>
      </w:r>
      <w:r>
        <w:rPr>
          <w:sz w:val="28"/>
        </w:rPr>
        <w:t>article</w:t>
      </w:r>
    </w:p>
    <w:p w:rsidR="00A54C16" w:rsidRDefault="0020637D">
      <w:pPr>
        <w:pStyle w:val="a3"/>
        <w:spacing w:before="2"/>
        <w:ind w:left="683" w:right="114" w:hanging="1"/>
        <w:jc w:val="both"/>
      </w:pPr>
      <w:r>
        <w:t>L. 124-2-1 imposant à chaque académie de comporter au moins un pôle de stage afin d’accompagner les élèves des classes de trois</w:t>
      </w:r>
      <w:r>
        <w:t>ième dans la recherche de</w:t>
      </w:r>
      <w:r>
        <w:rPr>
          <w:spacing w:val="-4"/>
        </w:rPr>
        <w:t xml:space="preserve"> </w:t>
      </w:r>
      <w:r>
        <w:t>stages.</w:t>
      </w:r>
    </w:p>
    <w:p w:rsidR="00A54C16" w:rsidRDefault="00A54C16">
      <w:pPr>
        <w:pStyle w:val="a3"/>
        <w:spacing w:before="2"/>
        <w:rPr>
          <w:sz w:val="31"/>
        </w:rPr>
      </w:pPr>
    </w:p>
    <w:p w:rsidR="00A54C16" w:rsidRDefault="0020637D">
      <w:pPr>
        <w:pStyle w:val="a4"/>
        <w:numPr>
          <w:ilvl w:val="0"/>
          <w:numId w:val="1"/>
        </w:numPr>
        <w:tabs>
          <w:tab w:val="left" w:pos="2241"/>
        </w:tabs>
        <w:ind w:left="683" w:firstLine="851"/>
        <w:jc w:val="both"/>
        <w:rPr>
          <w:sz w:val="28"/>
        </w:rPr>
      </w:pPr>
      <w:r>
        <w:rPr>
          <w:sz w:val="28"/>
        </w:rPr>
        <w:t>L’article 190 impose au recteur d’académie de présenter devant le conseil départemental de l’éducation nationale l’évolution de la mixité sociale et scolaire de tous les établissements scolaires de chaque district.</w:t>
      </w:r>
    </w:p>
    <w:p w:rsidR="00A54C16" w:rsidRDefault="00A54C16">
      <w:pPr>
        <w:pStyle w:val="a3"/>
        <w:spacing w:before="4"/>
        <w:rPr>
          <w:sz w:val="31"/>
        </w:rPr>
      </w:pPr>
    </w:p>
    <w:p w:rsidR="00A54C16" w:rsidRDefault="0020637D">
      <w:pPr>
        <w:pStyle w:val="a4"/>
        <w:numPr>
          <w:ilvl w:val="0"/>
          <w:numId w:val="1"/>
        </w:numPr>
        <w:tabs>
          <w:tab w:val="left" w:pos="2241"/>
        </w:tabs>
        <w:ind w:left="683" w:right="112" w:firstLine="851"/>
        <w:jc w:val="both"/>
        <w:rPr>
          <w:sz w:val="28"/>
        </w:rPr>
      </w:pPr>
      <w:r>
        <w:rPr>
          <w:sz w:val="28"/>
        </w:rPr>
        <w:t>Les articles 33, 55, 187 et 190 ne sont pas dépourvus de portée normative. Le grief tiré de la méconnaissance de l’exigence de normativité de la loi doit donc être</w:t>
      </w:r>
      <w:r>
        <w:rPr>
          <w:spacing w:val="-13"/>
          <w:sz w:val="28"/>
        </w:rPr>
        <w:t xml:space="preserve"> </w:t>
      </w:r>
      <w:r>
        <w:rPr>
          <w:sz w:val="28"/>
        </w:rPr>
        <w:t>écarté.</w:t>
      </w:r>
    </w:p>
    <w:p w:rsidR="00A54C16" w:rsidRDefault="00A54C16">
      <w:pPr>
        <w:pStyle w:val="a3"/>
        <w:spacing w:before="2"/>
        <w:rPr>
          <w:sz w:val="31"/>
        </w:rPr>
      </w:pPr>
    </w:p>
    <w:p w:rsidR="00A54C16" w:rsidRDefault="0020637D">
      <w:pPr>
        <w:pStyle w:val="a4"/>
        <w:numPr>
          <w:ilvl w:val="0"/>
          <w:numId w:val="1"/>
        </w:numPr>
        <w:tabs>
          <w:tab w:val="left" w:pos="2241"/>
        </w:tabs>
        <w:ind w:left="683" w:right="114" w:firstLine="851"/>
        <w:jc w:val="both"/>
        <w:rPr>
          <w:sz w:val="28"/>
        </w:rPr>
      </w:pPr>
      <w:r>
        <w:rPr>
          <w:sz w:val="28"/>
        </w:rPr>
        <w:t>L’article 223 modifie l’article 140 de la loi du 29 juillet 1998 mentionnée ci-dess</w:t>
      </w:r>
      <w:r>
        <w:rPr>
          <w:sz w:val="28"/>
        </w:rPr>
        <w:t>us pour favoriser le départ en vacances des personnes en situation d’exclusion et pour permettre aux programmes d’action</w:t>
      </w:r>
      <w:r>
        <w:rPr>
          <w:spacing w:val="14"/>
          <w:sz w:val="28"/>
        </w:rPr>
        <w:t xml:space="preserve"> </w:t>
      </w:r>
      <w:r>
        <w:rPr>
          <w:sz w:val="28"/>
        </w:rPr>
        <w:t>concertés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682" w:right="115"/>
        <w:jc w:val="both"/>
      </w:pPr>
      <w:r>
        <w:lastRenderedPageBreak/>
        <w:t>pour l’accès aux pratiques artistiques et culturelles, d’une part, de prendre en compte les pratiques sport</w:t>
      </w:r>
      <w:r>
        <w:t>ives et, d’autre part, de mettre en place des actions spécifiques à destination des personnes en situation d’exclusion.</w:t>
      </w:r>
    </w:p>
    <w:p w:rsidR="00A54C16" w:rsidRDefault="00A54C16">
      <w:pPr>
        <w:pStyle w:val="a3"/>
        <w:spacing w:before="4"/>
        <w:rPr>
          <w:sz w:val="31"/>
        </w:rPr>
      </w:pPr>
    </w:p>
    <w:p w:rsidR="00A54C16" w:rsidRDefault="0020637D">
      <w:pPr>
        <w:pStyle w:val="a4"/>
        <w:numPr>
          <w:ilvl w:val="0"/>
          <w:numId w:val="1"/>
        </w:numPr>
        <w:tabs>
          <w:tab w:val="left" w:pos="2240"/>
        </w:tabs>
        <w:ind w:left="682" w:firstLine="852"/>
        <w:jc w:val="both"/>
        <w:rPr>
          <w:sz w:val="28"/>
        </w:rPr>
      </w:pPr>
      <w:r>
        <w:rPr>
          <w:sz w:val="28"/>
        </w:rPr>
        <w:t>Aux termes du vingtième alinéa de l’article 34 de la Constitution : « Des lois de programmation déterminent les objectifs de l’action d</w:t>
      </w:r>
      <w:r>
        <w:rPr>
          <w:sz w:val="28"/>
        </w:rPr>
        <w:t>e l’État ». Les dispositions de l’article 223, qui fixent des  objectifs à l’action de l’État dans le domaine social, appartiennent à cette catégorie. Il s’ensuit que le grief tiré d’un défaut de portée normative ne peut être utilement soulevé à leur</w:t>
      </w:r>
      <w:r>
        <w:rPr>
          <w:spacing w:val="-9"/>
          <w:sz w:val="28"/>
        </w:rPr>
        <w:t xml:space="preserve"> </w:t>
      </w:r>
      <w:r>
        <w:rPr>
          <w:sz w:val="28"/>
        </w:rPr>
        <w:t>encon</w:t>
      </w:r>
      <w:r>
        <w:rPr>
          <w:sz w:val="28"/>
        </w:rPr>
        <w:t>tre.</w:t>
      </w:r>
    </w:p>
    <w:p w:rsidR="00A54C16" w:rsidRDefault="00A54C16">
      <w:pPr>
        <w:pStyle w:val="a3"/>
        <w:spacing w:before="3"/>
        <w:rPr>
          <w:sz w:val="31"/>
        </w:rPr>
      </w:pPr>
    </w:p>
    <w:p w:rsidR="00A54C16" w:rsidRDefault="0020637D">
      <w:pPr>
        <w:pStyle w:val="a4"/>
        <w:numPr>
          <w:ilvl w:val="0"/>
          <w:numId w:val="1"/>
        </w:numPr>
        <w:tabs>
          <w:tab w:val="left" w:pos="2240"/>
        </w:tabs>
        <w:ind w:left="682" w:right="114" w:firstLine="852"/>
        <w:jc w:val="both"/>
        <w:rPr>
          <w:sz w:val="28"/>
        </w:rPr>
      </w:pPr>
      <w:r>
        <w:rPr>
          <w:sz w:val="28"/>
        </w:rPr>
        <w:t xml:space="preserve">Compte tenu de la déclaration d’inconstitutionnalité de l’article 45 mentionnée au paragraphe </w:t>
      </w:r>
      <w:hyperlink w:anchor="_bookmark1" w:history="1">
        <w:r>
          <w:rPr>
            <w:sz w:val="28"/>
          </w:rPr>
          <w:t xml:space="preserve">190 </w:t>
        </w:r>
      </w:hyperlink>
      <w:r>
        <w:rPr>
          <w:sz w:val="28"/>
        </w:rPr>
        <w:t>de la présente décision, il n’est pas besoin d’examiner le grief tiré de son absence de portée</w:t>
      </w:r>
      <w:r>
        <w:rPr>
          <w:spacing w:val="-19"/>
          <w:sz w:val="28"/>
        </w:rPr>
        <w:t xml:space="preserve"> </w:t>
      </w:r>
      <w:r>
        <w:rPr>
          <w:sz w:val="28"/>
        </w:rPr>
        <w:t>normative.</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rPr>
          <w:sz w:val="28"/>
        </w:rPr>
      </w:pPr>
      <w:r>
        <w:rPr>
          <w:sz w:val="28"/>
          <w:u w:val="single"/>
        </w:rPr>
        <w:t>Sur les dispositions dont la place dans la loi déférée est contestée</w:t>
      </w:r>
      <w:r>
        <w:rPr>
          <w:spacing w:val="-19"/>
          <w:sz w:val="28"/>
        </w:rPr>
        <w:t xml:space="preserve"> </w:t>
      </w:r>
      <w:r>
        <w:rPr>
          <w:sz w:val="28"/>
        </w:rPr>
        <w:t>:</w:t>
      </w:r>
    </w:p>
    <w:p w:rsidR="00A54C16" w:rsidRDefault="0020637D">
      <w:pPr>
        <w:pStyle w:val="a3"/>
        <w:spacing w:before="239"/>
        <w:ind w:left="1817"/>
      </w:pPr>
      <w:r>
        <w:t xml:space="preserve">. </w:t>
      </w:r>
      <w:r>
        <w:rPr>
          <w:u w:val="dotted"/>
        </w:rPr>
        <w:t>En ce qui concerne les dispositions introduites en</w:t>
      </w:r>
      <w:r>
        <w:rPr>
          <w:spacing w:val="54"/>
          <w:u w:val="dotted"/>
        </w:rPr>
        <w:t xml:space="preserve"> </w:t>
      </w:r>
      <w:r>
        <w:rPr>
          <w:u w:val="dotted"/>
        </w:rPr>
        <w:t>première</w:t>
      </w:r>
    </w:p>
    <w:p w:rsidR="00A54C16" w:rsidRDefault="0020637D">
      <w:pPr>
        <w:pStyle w:val="a3"/>
        <w:spacing w:before="2"/>
        <w:ind w:left="682"/>
      </w:pPr>
      <w:r>
        <w:rPr>
          <w:u w:val="single"/>
        </w:rPr>
        <w:t>lecture</w:t>
      </w:r>
      <w:r>
        <w:t xml:space="preserve"> :</w:t>
      </w:r>
    </w:p>
    <w:p w:rsidR="00A54C16" w:rsidRDefault="00A54C16">
      <w:pPr>
        <w:pStyle w:val="a3"/>
        <w:spacing w:before="3"/>
        <w:rPr>
          <w:sz w:val="31"/>
        </w:rPr>
      </w:pPr>
    </w:p>
    <w:p w:rsidR="00A54C16" w:rsidRDefault="0020637D">
      <w:pPr>
        <w:pStyle w:val="a4"/>
        <w:numPr>
          <w:ilvl w:val="0"/>
          <w:numId w:val="1"/>
        </w:numPr>
        <w:tabs>
          <w:tab w:val="left" w:pos="2241"/>
        </w:tabs>
        <w:ind w:left="682" w:right="112" w:firstLine="852"/>
        <w:jc w:val="both"/>
        <w:rPr>
          <w:sz w:val="28"/>
        </w:rPr>
      </w:pPr>
      <w:r>
        <w:rPr>
          <w:sz w:val="28"/>
        </w:rPr>
        <w:t>Les sénateurs requérants soutiennent que les articles 58, 59, 60, 64, 80 et 91, le paragraphe XIV de l’article 1</w:t>
      </w:r>
      <w:r>
        <w:rPr>
          <w:sz w:val="28"/>
        </w:rPr>
        <w:t>17, et les articles 191, 192 et 222 n’ont pas leur place dans la loi déférée, au motif qu’ils ont été introduits en première lecture selon une procédure contraire à l’article 45  de la</w:t>
      </w:r>
      <w:r>
        <w:rPr>
          <w:spacing w:val="-3"/>
          <w:sz w:val="28"/>
        </w:rPr>
        <w:t xml:space="preserve"> </w:t>
      </w:r>
      <w:r>
        <w:rPr>
          <w:sz w:val="28"/>
        </w:rPr>
        <w:t>Constitution.</w:t>
      </w:r>
    </w:p>
    <w:p w:rsidR="00A54C16" w:rsidRDefault="0020637D">
      <w:pPr>
        <w:spacing w:before="241"/>
        <w:ind w:left="1884"/>
        <w:rPr>
          <w:i/>
          <w:sz w:val="28"/>
        </w:rPr>
      </w:pPr>
      <w:r>
        <w:rPr>
          <w:sz w:val="28"/>
        </w:rPr>
        <w:t xml:space="preserve">– </w:t>
      </w:r>
      <w:r>
        <w:rPr>
          <w:i/>
          <w:sz w:val="28"/>
          <w:u w:val="single"/>
        </w:rPr>
        <w:t>S’agissant des articles 58, 59 et 60</w:t>
      </w:r>
      <w:r>
        <w:rPr>
          <w:i/>
          <w:sz w:val="28"/>
        </w:rPr>
        <w:t xml:space="preserve"> :</w:t>
      </w:r>
    </w:p>
    <w:p w:rsidR="00A54C16" w:rsidRDefault="00A54C16">
      <w:pPr>
        <w:pStyle w:val="a3"/>
        <w:spacing w:before="3"/>
        <w:rPr>
          <w:i/>
          <w:sz w:val="31"/>
        </w:rPr>
      </w:pPr>
    </w:p>
    <w:p w:rsidR="00A54C16" w:rsidRDefault="0020637D">
      <w:pPr>
        <w:pStyle w:val="a4"/>
        <w:numPr>
          <w:ilvl w:val="0"/>
          <w:numId w:val="1"/>
        </w:numPr>
        <w:tabs>
          <w:tab w:val="left" w:pos="2241"/>
        </w:tabs>
        <w:ind w:left="682" w:right="114" w:firstLine="851"/>
        <w:jc w:val="both"/>
        <w:rPr>
          <w:sz w:val="28"/>
        </w:rPr>
      </w:pPr>
      <w:r>
        <w:rPr>
          <w:sz w:val="28"/>
        </w:rPr>
        <w:t>Les articles 58</w:t>
      </w:r>
      <w:r>
        <w:rPr>
          <w:sz w:val="28"/>
        </w:rPr>
        <w:t xml:space="preserve">, 59 et 60 prévoient la mise en place d’une concertation publique à l’occasion de l’élaboration du schéma directeur de la région Île-de-France, pour les deux premiers articles, et du schéma régional d’aménagement, de développement durable et d’égalité des </w:t>
      </w:r>
      <w:r>
        <w:rPr>
          <w:sz w:val="28"/>
        </w:rPr>
        <w:t>territoires, pour le</w:t>
      </w:r>
      <w:r>
        <w:rPr>
          <w:spacing w:val="-8"/>
          <w:sz w:val="28"/>
        </w:rPr>
        <w:t xml:space="preserve"> </w:t>
      </w:r>
      <w:r>
        <w:rPr>
          <w:sz w:val="28"/>
        </w:rPr>
        <w:t>dernier.</w:t>
      </w:r>
    </w:p>
    <w:p w:rsidR="00A54C16" w:rsidRDefault="00A54C16">
      <w:pPr>
        <w:pStyle w:val="a3"/>
        <w:spacing w:before="1"/>
        <w:rPr>
          <w:sz w:val="31"/>
        </w:rPr>
      </w:pPr>
    </w:p>
    <w:p w:rsidR="00A54C16" w:rsidRDefault="0020637D">
      <w:pPr>
        <w:pStyle w:val="a4"/>
        <w:numPr>
          <w:ilvl w:val="0"/>
          <w:numId w:val="1"/>
        </w:numPr>
        <w:tabs>
          <w:tab w:val="left" w:pos="2241"/>
        </w:tabs>
        <w:ind w:left="683" w:right="112" w:firstLine="852"/>
        <w:jc w:val="both"/>
        <w:rPr>
          <w:sz w:val="28"/>
        </w:rPr>
      </w:pPr>
      <w:r>
        <w:rPr>
          <w:color w:val="2B1212"/>
          <w:sz w:val="28"/>
        </w:rPr>
        <w:t xml:space="preserve">Introduites en première  lecture,  les  dispositions  des  articles </w:t>
      </w:r>
      <w:r>
        <w:rPr>
          <w:sz w:val="28"/>
        </w:rPr>
        <w:t xml:space="preserve">58, 59 et 60 </w:t>
      </w:r>
      <w:r>
        <w:rPr>
          <w:color w:val="2B1212"/>
          <w:sz w:val="28"/>
        </w:rPr>
        <w:t xml:space="preserve">de la loi déférée, </w:t>
      </w:r>
      <w:r>
        <w:rPr>
          <w:sz w:val="28"/>
        </w:rPr>
        <w:t xml:space="preserve">ne peuvent être regardées comme dépourvues de lien, même indirect, avec le projet de loi déposé sur le bureau de l’Assemblée </w:t>
      </w:r>
      <w:r>
        <w:rPr>
          <w:sz w:val="28"/>
        </w:rPr>
        <w:t>nationale. Par conséquent, les griefs tirés de la méconnaissance, par ces dispositions, du premier alinéa de l’article 45 de la Constitution doivent être</w:t>
      </w:r>
      <w:r>
        <w:rPr>
          <w:spacing w:val="-4"/>
          <w:sz w:val="28"/>
        </w:rPr>
        <w:t xml:space="preserve"> </w:t>
      </w:r>
      <w:r>
        <w:rPr>
          <w:sz w:val="28"/>
        </w:rPr>
        <w:t>écartés.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spacing w:before="79" w:line="242" w:lineRule="auto"/>
        <w:ind w:left="682" w:firstLine="1202"/>
        <w:rPr>
          <w:i/>
          <w:sz w:val="28"/>
        </w:rPr>
      </w:pPr>
      <w:r>
        <w:rPr>
          <w:sz w:val="28"/>
        </w:rPr>
        <w:lastRenderedPageBreak/>
        <w:t xml:space="preserve">– </w:t>
      </w:r>
      <w:r>
        <w:rPr>
          <w:i/>
          <w:sz w:val="28"/>
          <w:u w:val="single"/>
        </w:rPr>
        <w:t>S’agissant des articles 64, 80 et 91, du paragraphe XIV de</w:t>
      </w:r>
      <w:r>
        <w:rPr>
          <w:i/>
          <w:sz w:val="28"/>
        </w:rPr>
        <w:t xml:space="preserve"> </w:t>
      </w:r>
      <w:r>
        <w:rPr>
          <w:i/>
          <w:sz w:val="28"/>
          <w:u w:val="single"/>
        </w:rPr>
        <w:t xml:space="preserve">l’article 117 </w:t>
      </w:r>
      <w:r>
        <w:rPr>
          <w:i/>
          <w:sz w:val="28"/>
          <w:u w:val="single"/>
        </w:rPr>
        <w:t>et des articles 191, 192 et 222</w:t>
      </w:r>
      <w:r>
        <w:rPr>
          <w:i/>
          <w:sz w:val="28"/>
        </w:rPr>
        <w:t xml:space="preserve"> :</w:t>
      </w:r>
    </w:p>
    <w:p w:rsidR="00A54C16" w:rsidRDefault="00A54C16">
      <w:pPr>
        <w:pStyle w:val="a3"/>
        <w:spacing w:before="10"/>
        <w:rPr>
          <w:i/>
          <w:sz w:val="30"/>
        </w:rPr>
      </w:pPr>
    </w:p>
    <w:p w:rsidR="00A54C16" w:rsidRDefault="0020637D">
      <w:pPr>
        <w:pStyle w:val="a4"/>
        <w:numPr>
          <w:ilvl w:val="0"/>
          <w:numId w:val="1"/>
        </w:numPr>
        <w:tabs>
          <w:tab w:val="left" w:pos="2241"/>
        </w:tabs>
        <w:ind w:left="682" w:right="114" w:firstLine="851"/>
        <w:jc w:val="both"/>
        <w:rPr>
          <w:sz w:val="28"/>
        </w:rPr>
      </w:pPr>
      <w:r>
        <w:rPr>
          <w:sz w:val="28"/>
        </w:rPr>
        <w:t>L’article 64 autorise la dématérialisation de la procédure d’acquisition de la nationalité française par déclaration de nationalité ou décision de l’autorité</w:t>
      </w:r>
      <w:r>
        <w:rPr>
          <w:spacing w:val="-7"/>
          <w:sz w:val="28"/>
        </w:rPr>
        <w:t xml:space="preserve"> </w:t>
      </w:r>
      <w:r>
        <w:rPr>
          <w:sz w:val="28"/>
        </w:rPr>
        <w:t>publique.</w:t>
      </w:r>
    </w:p>
    <w:p w:rsidR="00A54C16" w:rsidRDefault="00A54C16">
      <w:pPr>
        <w:pStyle w:val="a3"/>
        <w:spacing w:before="2"/>
        <w:rPr>
          <w:sz w:val="31"/>
        </w:rPr>
      </w:pPr>
    </w:p>
    <w:p w:rsidR="00A54C16" w:rsidRDefault="0020637D">
      <w:pPr>
        <w:pStyle w:val="a4"/>
        <w:numPr>
          <w:ilvl w:val="0"/>
          <w:numId w:val="1"/>
        </w:numPr>
        <w:tabs>
          <w:tab w:val="left" w:pos="2241"/>
        </w:tabs>
        <w:ind w:left="682" w:firstLine="851"/>
        <w:jc w:val="both"/>
        <w:rPr>
          <w:sz w:val="28"/>
        </w:rPr>
      </w:pPr>
      <w:r>
        <w:rPr>
          <w:sz w:val="28"/>
        </w:rPr>
        <w:t>L’article 80 autorise les enquêteurs de l’Institut national de la statistique et des études économiques ainsi que ceux des services statistiques ministériels à accéder, pour le besoin de leurs enquêtes statistiques, aux parties communes des immeubles</w:t>
      </w:r>
      <w:r>
        <w:rPr>
          <w:spacing w:val="-8"/>
          <w:sz w:val="28"/>
        </w:rPr>
        <w:t xml:space="preserve"> </w:t>
      </w:r>
      <w:r>
        <w:rPr>
          <w:sz w:val="28"/>
        </w:rPr>
        <w:t>d’hab</w:t>
      </w:r>
      <w:r>
        <w:rPr>
          <w:sz w:val="28"/>
        </w:rPr>
        <w:t>itation.</w:t>
      </w:r>
    </w:p>
    <w:p w:rsidR="00A54C16" w:rsidRDefault="00A54C16">
      <w:pPr>
        <w:pStyle w:val="a3"/>
        <w:spacing w:before="4"/>
        <w:rPr>
          <w:sz w:val="31"/>
        </w:rPr>
      </w:pPr>
    </w:p>
    <w:p w:rsidR="00A54C16" w:rsidRDefault="0020637D">
      <w:pPr>
        <w:pStyle w:val="a4"/>
        <w:numPr>
          <w:ilvl w:val="0"/>
          <w:numId w:val="1"/>
        </w:numPr>
        <w:tabs>
          <w:tab w:val="left" w:pos="2241"/>
        </w:tabs>
        <w:ind w:left="682" w:right="114" w:firstLine="852"/>
        <w:jc w:val="both"/>
        <w:rPr>
          <w:sz w:val="28"/>
        </w:rPr>
      </w:pPr>
      <w:r>
        <w:rPr>
          <w:sz w:val="28"/>
        </w:rPr>
        <w:t>L’article 91 abaisse les conditions de majorité requise, au  sein des assemblées générales des copropriétés situées dans une commune soumise à la taxe sur les logements vacants, pour autoriser la réalisation de certaines opérations relatives à la</w:t>
      </w:r>
      <w:r>
        <w:rPr>
          <w:sz w:val="28"/>
        </w:rPr>
        <w:t xml:space="preserve"> réunion de plusieurs lots dont l’un au moins est d’une surface inférieure à 9 mètres carrés, en un lot unique à usage</w:t>
      </w:r>
      <w:r>
        <w:rPr>
          <w:spacing w:val="-3"/>
          <w:sz w:val="28"/>
        </w:rPr>
        <w:t xml:space="preserve"> </w:t>
      </w:r>
      <w:r>
        <w:rPr>
          <w:sz w:val="28"/>
        </w:rPr>
        <w:t>d’habitation.</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3" w:right="112" w:firstLine="851"/>
        <w:jc w:val="both"/>
        <w:rPr>
          <w:sz w:val="28"/>
        </w:rPr>
      </w:pPr>
      <w:r>
        <w:rPr>
          <w:sz w:val="28"/>
        </w:rPr>
        <w:t>Le paragraphe XIV de l’article 117 modifie les conditions de majorité requise pour la définition de l’intérêt communautaire dans les établissements publics de coopération</w:t>
      </w:r>
      <w:r>
        <w:rPr>
          <w:spacing w:val="-5"/>
          <w:sz w:val="28"/>
        </w:rPr>
        <w:t xml:space="preserve"> </w:t>
      </w:r>
      <w:r>
        <w:rPr>
          <w:sz w:val="28"/>
        </w:rPr>
        <w:t>intercommunale.</w:t>
      </w:r>
    </w:p>
    <w:p w:rsidR="00A54C16" w:rsidRDefault="00A54C16">
      <w:pPr>
        <w:pStyle w:val="a3"/>
        <w:spacing w:before="1"/>
        <w:rPr>
          <w:sz w:val="31"/>
        </w:rPr>
      </w:pPr>
    </w:p>
    <w:p w:rsidR="00A54C16" w:rsidRDefault="0020637D">
      <w:pPr>
        <w:pStyle w:val="a4"/>
        <w:numPr>
          <w:ilvl w:val="0"/>
          <w:numId w:val="1"/>
        </w:numPr>
        <w:tabs>
          <w:tab w:val="left" w:pos="2241"/>
        </w:tabs>
        <w:spacing w:before="1"/>
        <w:ind w:left="683" w:right="114" w:firstLine="851"/>
        <w:jc w:val="both"/>
        <w:rPr>
          <w:sz w:val="28"/>
        </w:rPr>
      </w:pPr>
      <w:r>
        <w:rPr>
          <w:sz w:val="28"/>
        </w:rPr>
        <w:t>L’article 191 intègre des considérations sur la consommation aliment</w:t>
      </w:r>
      <w:r>
        <w:rPr>
          <w:sz w:val="28"/>
        </w:rPr>
        <w:t>aire durable dans le rapport relatif à la responsabilité sociale et environnementale que doivent établir les</w:t>
      </w:r>
      <w:r>
        <w:rPr>
          <w:spacing w:val="-7"/>
          <w:sz w:val="28"/>
        </w:rPr>
        <w:t xml:space="preserve"> </w:t>
      </w:r>
      <w:r>
        <w:rPr>
          <w:sz w:val="28"/>
        </w:rPr>
        <w:t>entreprises.</w:t>
      </w:r>
    </w:p>
    <w:p w:rsidR="00A54C16" w:rsidRDefault="00A54C16">
      <w:pPr>
        <w:pStyle w:val="a3"/>
        <w:spacing w:before="4"/>
        <w:rPr>
          <w:sz w:val="31"/>
        </w:rPr>
      </w:pPr>
    </w:p>
    <w:p w:rsidR="00A54C16" w:rsidRDefault="0020637D">
      <w:pPr>
        <w:pStyle w:val="a4"/>
        <w:numPr>
          <w:ilvl w:val="0"/>
          <w:numId w:val="1"/>
        </w:numPr>
        <w:tabs>
          <w:tab w:val="left" w:pos="2241"/>
        </w:tabs>
        <w:ind w:left="683" w:right="112" w:firstLine="851"/>
        <w:jc w:val="both"/>
        <w:rPr>
          <w:sz w:val="28"/>
        </w:rPr>
      </w:pPr>
      <w:r>
        <w:rPr>
          <w:sz w:val="28"/>
        </w:rPr>
        <w:t>L’article 192 instaure l’obligation, pour les services de restauration collective des personnes publiques, de servir une part minimale de produits issus de l’alimentation durable et de l’agriculture</w:t>
      </w:r>
      <w:r>
        <w:rPr>
          <w:spacing w:val="-19"/>
          <w:sz w:val="28"/>
        </w:rPr>
        <w:t xml:space="preserve"> </w:t>
      </w:r>
      <w:r>
        <w:rPr>
          <w:sz w:val="28"/>
        </w:rPr>
        <w:t>biologique.</w:t>
      </w:r>
    </w:p>
    <w:p w:rsidR="00A54C16" w:rsidRDefault="00A54C16">
      <w:pPr>
        <w:pStyle w:val="a3"/>
        <w:spacing w:before="2"/>
        <w:rPr>
          <w:sz w:val="31"/>
        </w:rPr>
      </w:pPr>
    </w:p>
    <w:p w:rsidR="00A54C16" w:rsidRDefault="0020637D">
      <w:pPr>
        <w:pStyle w:val="a4"/>
        <w:numPr>
          <w:ilvl w:val="0"/>
          <w:numId w:val="1"/>
        </w:numPr>
        <w:tabs>
          <w:tab w:val="left" w:pos="2242"/>
        </w:tabs>
        <w:ind w:left="683" w:right="114" w:firstLine="851"/>
        <w:jc w:val="both"/>
        <w:rPr>
          <w:sz w:val="28"/>
        </w:rPr>
      </w:pPr>
      <w:r>
        <w:rPr>
          <w:sz w:val="28"/>
        </w:rPr>
        <w:t>L’article 222 dispose que l’autorité parenta</w:t>
      </w:r>
      <w:r>
        <w:rPr>
          <w:sz w:val="28"/>
        </w:rPr>
        <w:t>le exclut « tout traitement cruel, dégradant ou humiliant, y compris tout recours aux violences corporelles</w:t>
      </w:r>
      <w:r>
        <w:rPr>
          <w:spacing w:val="-3"/>
          <w:sz w:val="28"/>
        </w:rPr>
        <w:t xml:space="preserve"> </w:t>
      </w:r>
      <w:r>
        <w:rPr>
          <w:sz w:val="28"/>
        </w:rPr>
        <w:t>».</w:t>
      </w:r>
    </w:p>
    <w:p w:rsidR="00A54C16" w:rsidRDefault="00A54C16">
      <w:pPr>
        <w:pStyle w:val="a3"/>
        <w:spacing w:before="5"/>
        <w:rPr>
          <w:sz w:val="31"/>
        </w:rPr>
      </w:pPr>
    </w:p>
    <w:p w:rsidR="00A54C16" w:rsidRDefault="0020637D">
      <w:pPr>
        <w:pStyle w:val="a4"/>
        <w:numPr>
          <w:ilvl w:val="0"/>
          <w:numId w:val="1"/>
        </w:numPr>
        <w:tabs>
          <w:tab w:val="left" w:pos="2312"/>
        </w:tabs>
        <w:ind w:left="683" w:right="111" w:firstLine="851"/>
        <w:jc w:val="both"/>
        <w:rPr>
          <w:sz w:val="28"/>
        </w:rPr>
      </w:pPr>
      <w:r>
        <w:rPr>
          <w:sz w:val="28"/>
        </w:rPr>
        <w:t xml:space="preserve">Introduites en première lecture,  les  dispositions  des  articles 64, 80 et 91, du paragraphe XIV de l’article 117 et des articles 191, 192 et </w:t>
      </w:r>
      <w:r>
        <w:rPr>
          <w:sz w:val="28"/>
        </w:rPr>
        <w:t>222 de la loi déférée ne présentent pas de lien, même indirect, avec celles qui figuraient dans le projet de loi déposé sur le bureau de l’Assemblée nationale. Adoptées selon une procédure contraire à la Constitution, elles lui sont donc</w:t>
      </w:r>
      <w:r>
        <w:rPr>
          <w:spacing w:val="-7"/>
          <w:sz w:val="28"/>
        </w:rPr>
        <w:t xml:space="preserve"> </w:t>
      </w:r>
      <w:r>
        <w:rPr>
          <w:sz w:val="28"/>
        </w:rPr>
        <w:t>contraires.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ind w:left="1817"/>
      </w:pPr>
      <w:r>
        <w:lastRenderedPageBreak/>
        <w:t xml:space="preserve">. </w:t>
      </w:r>
      <w:r>
        <w:rPr>
          <w:u w:val="dotted"/>
        </w:rPr>
        <w:t>En ce qui concerne les dispositions introduites en nouvelle</w:t>
      </w:r>
    </w:p>
    <w:p w:rsidR="00A54C16" w:rsidRDefault="0020637D">
      <w:pPr>
        <w:pStyle w:val="a3"/>
        <w:spacing w:before="2"/>
        <w:ind w:left="682"/>
      </w:pPr>
      <w:r>
        <w:rPr>
          <w:u w:val="single"/>
        </w:rPr>
        <w:t>lecture</w:t>
      </w:r>
      <w:r>
        <w:t xml:space="preserve"> :</w:t>
      </w:r>
    </w:p>
    <w:p w:rsidR="00A54C16" w:rsidRDefault="00A54C16">
      <w:pPr>
        <w:pStyle w:val="a3"/>
        <w:spacing w:before="6"/>
        <w:rPr>
          <w:sz w:val="23"/>
        </w:rPr>
      </w:pPr>
    </w:p>
    <w:p w:rsidR="00A54C16" w:rsidRDefault="0020637D">
      <w:pPr>
        <w:pStyle w:val="a4"/>
        <w:numPr>
          <w:ilvl w:val="0"/>
          <w:numId w:val="1"/>
        </w:numPr>
        <w:tabs>
          <w:tab w:val="left" w:pos="2241"/>
        </w:tabs>
        <w:spacing w:before="89"/>
        <w:ind w:left="682" w:right="114" w:firstLine="852"/>
        <w:jc w:val="both"/>
        <w:rPr>
          <w:sz w:val="28"/>
        </w:rPr>
      </w:pPr>
      <w:r>
        <w:rPr>
          <w:sz w:val="28"/>
        </w:rPr>
        <w:t xml:space="preserve">Les sénateurs requérants soutiennent qu’ont été introduits </w:t>
      </w:r>
      <w:r>
        <w:rPr>
          <w:spacing w:val="-3"/>
          <w:sz w:val="28"/>
        </w:rPr>
        <w:t xml:space="preserve">en </w:t>
      </w:r>
      <w:r>
        <w:rPr>
          <w:sz w:val="28"/>
        </w:rPr>
        <w:t>nouvelle lecture, en violation de l’article 45 de la Constitution, les paragraphes II et III de l’arti</w:t>
      </w:r>
      <w:r>
        <w:rPr>
          <w:sz w:val="28"/>
        </w:rPr>
        <w:t>cle 52, le paragraphe I de l’article 67, les paragraphes IX à XII de l’article 102, le paragraphe III de l’article 104, le paragraphe II de l’article 121, le 1° du paragraphe I de l’article 122, l’article 128, les paragraphes V à VII de l’article 152, le d</w:t>
      </w:r>
      <w:r>
        <w:rPr>
          <w:sz w:val="28"/>
        </w:rPr>
        <w:t>ernier alinéa      du 4° des paragraphes I, II et III de l’article 162 et le 1° de l’article 204. Les députés requérants formulent également ce grief à l’encontre du paragraphe I de l’article</w:t>
      </w:r>
      <w:r>
        <w:rPr>
          <w:spacing w:val="-7"/>
          <w:sz w:val="28"/>
        </w:rPr>
        <w:t xml:space="preserve"> </w:t>
      </w:r>
      <w:r>
        <w:rPr>
          <w:sz w:val="28"/>
        </w:rPr>
        <w:t>67.</w:t>
      </w:r>
    </w:p>
    <w:p w:rsidR="00A54C16" w:rsidRDefault="0020637D">
      <w:pPr>
        <w:spacing w:before="239"/>
        <w:ind w:left="682" w:right="116" w:firstLine="1202"/>
        <w:jc w:val="both"/>
        <w:rPr>
          <w:i/>
          <w:sz w:val="28"/>
        </w:rPr>
      </w:pPr>
      <w:r>
        <w:rPr>
          <w:sz w:val="28"/>
        </w:rPr>
        <w:t xml:space="preserve">– </w:t>
      </w:r>
      <w:r>
        <w:rPr>
          <w:i/>
          <w:sz w:val="28"/>
          <w:u w:val="single"/>
        </w:rPr>
        <w:t>S’agissant des paragraphes IX à XII de l’article 102 et du</w:t>
      </w:r>
      <w:r>
        <w:rPr>
          <w:i/>
          <w:sz w:val="28"/>
        </w:rPr>
        <w:t xml:space="preserve"> </w:t>
      </w:r>
      <w:r>
        <w:rPr>
          <w:i/>
          <w:sz w:val="28"/>
          <w:u w:val="single"/>
        </w:rPr>
        <w:t>dernier alinéa du 4° des paragraphes I, II et III de l’article 162</w:t>
      </w:r>
      <w:r>
        <w:rPr>
          <w:i/>
          <w:sz w:val="28"/>
        </w:rPr>
        <w:t xml:space="preserve"> :</w:t>
      </w:r>
    </w:p>
    <w:p w:rsidR="00A54C16" w:rsidRDefault="00A54C16">
      <w:pPr>
        <w:pStyle w:val="a3"/>
        <w:spacing w:before="2"/>
        <w:rPr>
          <w:i/>
          <w:sz w:val="31"/>
        </w:rPr>
      </w:pPr>
    </w:p>
    <w:p w:rsidR="00A54C16" w:rsidRDefault="0020637D">
      <w:pPr>
        <w:pStyle w:val="a4"/>
        <w:numPr>
          <w:ilvl w:val="0"/>
          <w:numId w:val="1"/>
        </w:numPr>
        <w:tabs>
          <w:tab w:val="left" w:pos="2241"/>
        </w:tabs>
        <w:spacing w:before="1"/>
        <w:ind w:left="682" w:right="114" w:firstLine="851"/>
        <w:jc w:val="both"/>
        <w:rPr>
          <w:sz w:val="28"/>
        </w:rPr>
      </w:pPr>
      <w:r>
        <w:rPr>
          <w:sz w:val="28"/>
        </w:rPr>
        <w:t>Les paragraphes IX à XII de l’article 102 sont relatifs aux relations entre les comités régionaux de l’habitat et de l’hébergement et les établissements publics fonciers. Le dernier alinéa du 4° des paragraphes I, II et III de l’article 162 fixe un pourcen</w:t>
      </w:r>
      <w:r>
        <w:rPr>
          <w:sz w:val="28"/>
        </w:rPr>
        <w:t>tage minimal de postes ouverts au recrutement par la voie du parcours d’accès aux carrières de la fonction publique territoriale, hospitalière et de</w:t>
      </w:r>
      <w:r>
        <w:rPr>
          <w:spacing w:val="-10"/>
          <w:sz w:val="28"/>
        </w:rPr>
        <w:t xml:space="preserve"> </w:t>
      </w:r>
      <w:r>
        <w:rPr>
          <w:sz w:val="28"/>
        </w:rPr>
        <w:t>l’État.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 xml:space="preserve">Introduites en nouvelle lecture, ces adjonctions étaient, à ce stade de la procédure, en relation </w:t>
      </w:r>
      <w:r>
        <w:rPr>
          <w:sz w:val="28"/>
        </w:rPr>
        <w:t>directe avec des dispositions restant en discussion. Les griefs tirés de la méconnaissance, par ces dispositions, de l’article 45 de la Constitution doivent donc être</w:t>
      </w:r>
      <w:r>
        <w:rPr>
          <w:spacing w:val="-15"/>
          <w:sz w:val="28"/>
        </w:rPr>
        <w:t xml:space="preserve"> </w:t>
      </w:r>
      <w:r>
        <w:rPr>
          <w:sz w:val="28"/>
        </w:rPr>
        <w:t>écartés.</w:t>
      </w:r>
    </w:p>
    <w:p w:rsidR="00A54C16" w:rsidRDefault="0020637D">
      <w:pPr>
        <w:spacing w:before="241"/>
        <w:ind w:left="682" w:right="113" w:firstLine="1202"/>
        <w:jc w:val="both"/>
        <w:rPr>
          <w:i/>
          <w:sz w:val="28"/>
        </w:rPr>
      </w:pPr>
      <w:r>
        <w:rPr>
          <w:sz w:val="28"/>
        </w:rPr>
        <w:t xml:space="preserve">– </w:t>
      </w:r>
      <w:r>
        <w:rPr>
          <w:i/>
          <w:sz w:val="28"/>
          <w:u w:val="single"/>
        </w:rPr>
        <w:t>S’agissant du paragraphe I de l’article 67, du paragraphe III</w:t>
      </w:r>
      <w:r>
        <w:rPr>
          <w:i/>
          <w:sz w:val="28"/>
        </w:rPr>
        <w:t xml:space="preserve"> </w:t>
      </w:r>
      <w:r>
        <w:rPr>
          <w:i/>
          <w:sz w:val="28"/>
          <w:u w:val="single"/>
        </w:rPr>
        <w:t>de l’article 104</w:t>
      </w:r>
      <w:r>
        <w:rPr>
          <w:i/>
          <w:sz w:val="28"/>
          <w:u w:val="single"/>
        </w:rPr>
        <w:t>, du paragraphe II de l’article 121, du 1° du paragraphe I</w:t>
      </w:r>
      <w:r>
        <w:rPr>
          <w:i/>
          <w:sz w:val="28"/>
        </w:rPr>
        <w:t xml:space="preserve"> </w:t>
      </w:r>
      <w:r>
        <w:rPr>
          <w:i/>
          <w:sz w:val="28"/>
          <w:u w:val="single"/>
        </w:rPr>
        <w:t>de l’article 122, de l’article 128  et  des  paragraphes  V  à  VII  de</w:t>
      </w:r>
      <w:r>
        <w:rPr>
          <w:i/>
          <w:sz w:val="28"/>
        </w:rPr>
        <w:t xml:space="preserve">  </w:t>
      </w:r>
      <w:r>
        <w:rPr>
          <w:i/>
          <w:sz w:val="28"/>
          <w:u w:val="single"/>
        </w:rPr>
        <w:t>l’article 152</w:t>
      </w:r>
      <w:r>
        <w:rPr>
          <w:i/>
          <w:spacing w:val="-1"/>
          <w:sz w:val="28"/>
        </w:rPr>
        <w:t xml:space="preserve"> </w:t>
      </w:r>
      <w:r>
        <w:rPr>
          <w:i/>
          <w:sz w:val="28"/>
        </w:rPr>
        <w:t>:</w:t>
      </w:r>
    </w:p>
    <w:p w:rsidR="00A54C16" w:rsidRDefault="00A54C16">
      <w:pPr>
        <w:pStyle w:val="a3"/>
        <w:spacing w:before="4"/>
        <w:rPr>
          <w:i/>
          <w:sz w:val="31"/>
        </w:rPr>
      </w:pPr>
    </w:p>
    <w:p w:rsidR="00A54C16" w:rsidRDefault="0020637D">
      <w:pPr>
        <w:pStyle w:val="a4"/>
        <w:numPr>
          <w:ilvl w:val="0"/>
          <w:numId w:val="1"/>
        </w:numPr>
        <w:tabs>
          <w:tab w:val="left" w:pos="2241"/>
        </w:tabs>
        <w:spacing w:before="1"/>
        <w:ind w:left="682" w:right="115" w:firstLine="851"/>
        <w:jc w:val="both"/>
        <w:rPr>
          <w:sz w:val="28"/>
        </w:rPr>
      </w:pPr>
      <w:r>
        <w:rPr>
          <w:sz w:val="28"/>
        </w:rPr>
        <w:t>Le paragraphe I de l’article 67 crée un mécanisme de dépôt auprès des établissements de crédit pour le permis de</w:t>
      </w:r>
      <w:r>
        <w:rPr>
          <w:spacing w:val="-11"/>
          <w:sz w:val="28"/>
        </w:rPr>
        <w:t xml:space="preserve"> </w:t>
      </w:r>
      <w:r>
        <w:rPr>
          <w:sz w:val="28"/>
        </w:rPr>
        <w:t>conduire.</w:t>
      </w:r>
    </w:p>
    <w:p w:rsidR="00A54C16" w:rsidRDefault="00A54C16">
      <w:pPr>
        <w:pStyle w:val="a3"/>
        <w:spacing w:before="2"/>
        <w:rPr>
          <w:sz w:val="31"/>
        </w:rPr>
      </w:pPr>
    </w:p>
    <w:p w:rsidR="00A54C16" w:rsidRDefault="0020637D">
      <w:pPr>
        <w:pStyle w:val="a4"/>
        <w:numPr>
          <w:ilvl w:val="0"/>
          <w:numId w:val="1"/>
        </w:numPr>
        <w:tabs>
          <w:tab w:val="left" w:pos="2241"/>
        </w:tabs>
        <w:ind w:left="682" w:right="115" w:firstLine="852"/>
        <w:jc w:val="both"/>
        <w:rPr>
          <w:sz w:val="28"/>
        </w:rPr>
      </w:pPr>
      <w:r>
        <w:rPr>
          <w:sz w:val="28"/>
        </w:rPr>
        <w:t xml:space="preserve">Le paragraphe III de l’article 104 prévoit la remise au Parlement d’un rapport du Gouvernement sur les services communaux d’hygiène </w:t>
      </w:r>
      <w:r>
        <w:rPr>
          <w:sz w:val="28"/>
        </w:rPr>
        <w:t>et de</w:t>
      </w:r>
      <w:r>
        <w:rPr>
          <w:spacing w:val="-6"/>
          <w:sz w:val="28"/>
        </w:rPr>
        <w:t xml:space="preserve"> </w:t>
      </w:r>
      <w:r>
        <w:rPr>
          <w:sz w:val="28"/>
        </w:rPr>
        <w:t>santé.</w:t>
      </w:r>
    </w:p>
    <w:p w:rsidR="00A54C16" w:rsidRDefault="00A54C16">
      <w:pPr>
        <w:pStyle w:val="a3"/>
        <w:spacing w:before="2"/>
        <w:rPr>
          <w:sz w:val="31"/>
        </w:rPr>
      </w:pPr>
    </w:p>
    <w:p w:rsidR="00A54C16" w:rsidRDefault="0020637D">
      <w:pPr>
        <w:pStyle w:val="a4"/>
        <w:numPr>
          <w:ilvl w:val="0"/>
          <w:numId w:val="1"/>
        </w:numPr>
        <w:tabs>
          <w:tab w:val="left" w:pos="2241"/>
        </w:tabs>
        <w:spacing w:line="242" w:lineRule="auto"/>
        <w:ind w:left="683" w:right="115" w:firstLine="851"/>
        <w:jc w:val="both"/>
        <w:rPr>
          <w:sz w:val="28"/>
        </w:rPr>
      </w:pPr>
      <w:r>
        <w:rPr>
          <w:sz w:val="28"/>
        </w:rPr>
        <w:t>Le paragraphe II de l’article 121 modifie les règles régissant la colocation de</w:t>
      </w:r>
      <w:r>
        <w:rPr>
          <w:spacing w:val="-5"/>
          <w:sz w:val="28"/>
        </w:rPr>
        <w:t xml:space="preserve"> </w:t>
      </w:r>
      <w:r>
        <w:rPr>
          <w:sz w:val="28"/>
        </w:rPr>
        <w:t>logements.</w:t>
      </w:r>
    </w:p>
    <w:p w:rsidR="00A54C16" w:rsidRDefault="00A54C16">
      <w:pPr>
        <w:spacing w:line="242" w:lineRule="auto"/>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line="242" w:lineRule="auto"/>
        <w:ind w:left="682" w:firstLine="852"/>
        <w:jc w:val="both"/>
        <w:rPr>
          <w:sz w:val="28"/>
        </w:rPr>
      </w:pPr>
      <w:r>
        <w:rPr>
          <w:sz w:val="28"/>
        </w:rPr>
        <w:lastRenderedPageBreak/>
        <w:t>Le 1° du paragraphe I de l’article 122 est relatif à la rémunération des syndics de</w:t>
      </w:r>
      <w:r>
        <w:rPr>
          <w:spacing w:val="-6"/>
          <w:sz w:val="28"/>
        </w:rPr>
        <w:t xml:space="preserve"> </w:t>
      </w:r>
      <w:r>
        <w:rPr>
          <w:sz w:val="28"/>
        </w:rPr>
        <w:t>copropriété.</w:t>
      </w:r>
    </w:p>
    <w:p w:rsidR="00A54C16" w:rsidRDefault="00A54C16">
      <w:pPr>
        <w:pStyle w:val="a3"/>
        <w:spacing w:before="10"/>
        <w:rPr>
          <w:sz w:val="30"/>
        </w:rPr>
      </w:pPr>
    </w:p>
    <w:p w:rsidR="00A54C16" w:rsidRDefault="0020637D">
      <w:pPr>
        <w:pStyle w:val="a4"/>
        <w:numPr>
          <w:ilvl w:val="0"/>
          <w:numId w:val="1"/>
        </w:numPr>
        <w:tabs>
          <w:tab w:val="left" w:pos="2240"/>
        </w:tabs>
        <w:ind w:left="682" w:right="115" w:firstLine="851"/>
        <w:jc w:val="both"/>
        <w:rPr>
          <w:sz w:val="28"/>
        </w:rPr>
      </w:pPr>
      <w:r>
        <w:rPr>
          <w:sz w:val="28"/>
        </w:rPr>
        <w:t>L’article 128 étend les compétences du « Fonds national d’accompagnement vers et dans le logement</w:t>
      </w:r>
      <w:r>
        <w:rPr>
          <w:spacing w:val="-4"/>
          <w:sz w:val="28"/>
        </w:rPr>
        <w:t xml:space="preserve"> </w:t>
      </w:r>
      <w:r>
        <w:rPr>
          <w:sz w:val="28"/>
        </w:rPr>
        <w:t>».</w:t>
      </w:r>
    </w:p>
    <w:p w:rsidR="00A54C16" w:rsidRDefault="00A54C16">
      <w:pPr>
        <w:pStyle w:val="a3"/>
        <w:spacing w:before="2"/>
        <w:rPr>
          <w:sz w:val="31"/>
        </w:rPr>
      </w:pPr>
    </w:p>
    <w:p w:rsidR="00A54C16" w:rsidRDefault="0020637D">
      <w:pPr>
        <w:pStyle w:val="a4"/>
        <w:numPr>
          <w:ilvl w:val="0"/>
          <w:numId w:val="1"/>
        </w:numPr>
        <w:tabs>
          <w:tab w:val="left" w:pos="2241"/>
        </w:tabs>
        <w:ind w:left="682" w:right="115" w:firstLine="851"/>
        <w:jc w:val="both"/>
        <w:rPr>
          <w:sz w:val="28"/>
        </w:rPr>
      </w:pPr>
      <w:r>
        <w:rPr>
          <w:sz w:val="28"/>
        </w:rPr>
        <w:t>Les paragraphes V à VII de l’article 152 modifient les règles de prise en compte des dettes locatives dans les procédures de surendettement.</w:t>
      </w:r>
    </w:p>
    <w:p w:rsidR="00A54C16" w:rsidRDefault="00A54C16">
      <w:pPr>
        <w:pStyle w:val="a3"/>
        <w:spacing w:before="5"/>
        <w:rPr>
          <w:sz w:val="31"/>
        </w:rPr>
      </w:pPr>
    </w:p>
    <w:p w:rsidR="00A54C16" w:rsidRDefault="0020637D">
      <w:pPr>
        <w:pStyle w:val="a4"/>
        <w:numPr>
          <w:ilvl w:val="0"/>
          <w:numId w:val="1"/>
        </w:numPr>
        <w:tabs>
          <w:tab w:val="left" w:pos="2241"/>
        </w:tabs>
        <w:ind w:left="682" w:right="112" w:firstLine="852"/>
        <w:jc w:val="both"/>
        <w:rPr>
          <w:sz w:val="28"/>
        </w:rPr>
      </w:pPr>
      <w:r>
        <w:rPr>
          <w:sz w:val="28"/>
        </w:rPr>
        <w:t xml:space="preserve">Introduites </w:t>
      </w:r>
      <w:r>
        <w:rPr>
          <w:sz w:val="28"/>
        </w:rPr>
        <w:t>en nouvelle lecture, ces adjonctions n’étaient pas, à ce stade de la procédure, en relation directe avec une disposition restant en discussion. Elles n’étaient pas non plus destinées à assurer le respect de la Constitution, à opérer une coordination avec d</w:t>
      </w:r>
      <w:r>
        <w:rPr>
          <w:sz w:val="28"/>
        </w:rPr>
        <w:t>es textes en cours d’examen ou à corriger une erreur matérielle. Il s’ensuit que le paragraphe I de l’article 67, le paragraphe III de l’article 104, le paragraphe II de  l’article 121, le 1° du paragraphe I de l’article 122, l’article 128 et les paragraph</w:t>
      </w:r>
      <w:r>
        <w:rPr>
          <w:sz w:val="28"/>
        </w:rPr>
        <w:t>es V à VII de l’article 152, adoptés selon une procédure contraire à la Constitution, lui sont</w:t>
      </w:r>
      <w:r>
        <w:rPr>
          <w:spacing w:val="-6"/>
          <w:sz w:val="28"/>
        </w:rPr>
        <w:t xml:space="preserve"> </w:t>
      </w:r>
      <w:r>
        <w:rPr>
          <w:sz w:val="28"/>
        </w:rPr>
        <w:t>contraires.</w:t>
      </w:r>
    </w:p>
    <w:p w:rsidR="00A54C16" w:rsidRDefault="0020637D">
      <w:pPr>
        <w:spacing w:before="240"/>
        <w:ind w:left="682" w:right="114" w:firstLine="1202"/>
        <w:rPr>
          <w:i/>
          <w:sz w:val="28"/>
        </w:rPr>
      </w:pPr>
      <w:r>
        <w:rPr>
          <w:sz w:val="28"/>
        </w:rPr>
        <w:t xml:space="preserve">– </w:t>
      </w:r>
      <w:r>
        <w:rPr>
          <w:i/>
          <w:sz w:val="28"/>
          <w:u w:val="single"/>
        </w:rPr>
        <w:t>S’agissant des paragraphes II et III de l’article 52 et du 1° de</w:t>
      </w:r>
      <w:r>
        <w:rPr>
          <w:i/>
          <w:sz w:val="28"/>
        </w:rPr>
        <w:t xml:space="preserve"> </w:t>
      </w:r>
      <w:r>
        <w:rPr>
          <w:i/>
          <w:sz w:val="28"/>
          <w:u w:val="single"/>
        </w:rPr>
        <w:t>l’article 204</w:t>
      </w:r>
      <w:r>
        <w:rPr>
          <w:i/>
          <w:sz w:val="28"/>
        </w:rPr>
        <w:t xml:space="preserve"> :</w:t>
      </w:r>
    </w:p>
    <w:p w:rsidR="00A54C16" w:rsidRDefault="00A54C16">
      <w:pPr>
        <w:pStyle w:val="a3"/>
        <w:spacing w:before="2"/>
        <w:rPr>
          <w:i/>
          <w:sz w:val="31"/>
        </w:rPr>
      </w:pPr>
    </w:p>
    <w:p w:rsidR="00A54C16" w:rsidRDefault="0020637D">
      <w:pPr>
        <w:pStyle w:val="a4"/>
        <w:numPr>
          <w:ilvl w:val="0"/>
          <w:numId w:val="1"/>
        </w:numPr>
        <w:tabs>
          <w:tab w:val="left" w:pos="2241"/>
        </w:tabs>
        <w:ind w:left="682" w:right="114" w:firstLine="851"/>
        <w:jc w:val="both"/>
        <w:rPr>
          <w:sz w:val="28"/>
        </w:rPr>
      </w:pPr>
      <w:r>
        <w:rPr>
          <w:sz w:val="28"/>
        </w:rPr>
        <w:t>Compte tenu de la déclaration d’inconstitutionnalité des articles</w:t>
      </w:r>
      <w:r>
        <w:rPr>
          <w:sz w:val="28"/>
        </w:rPr>
        <w:t xml:space="preserve"> 52 et 204 mentionnée au paragraphe </w:t>
      </w:r>
      <w:hyperlink w:anchor="_bookmark1" w:history="1">
        <w:r>
          <w:rPr>
            <w:sz w:val="28"/>
          </w:rPr>
          <w:t xml:space="preserve">190 </w:t>
        </w:r>
      </w:hyperlink>
      <w:r>
        <w:rPr>
          <w:sz w:val="28"/>
        </w:rPr>
        <w:t>de la présente décision, il n’est pas besoin d’examiner le grief tiré de l’irrégularité de l’introduction en nouvelle lecture des paragraphes II et III de l’article 52 et du 1° de l’arti</w:t>
      </w:r>
      <w:r>
        <w:rPr>
          <w:sz w:val="28"/>
        </w:rPr>
        <w:t>cle</w:t>
      </w:r>
      <w:r>
        <w:rPr>
          <w:spacing w:val="-3"/>
          <w:sz w:val="28"/>
        </w:rPr>
        <w:t xml:space="preserve"> </w:t>
      </w:r>
      <w:r>
        <w:rPr>
          <w:sz w:val="28"/>
        </w:rPr>
        <w:t>204.</w:t>
      </w:r>
    </w:p>
    <w:p w:rsidR="00A54C16" w:rsidRDefault="00A54C16">
      <w:pPr>
        <w:pStyle w:val="a3"/>
        <w:spacing w:before="9"/>
        <w:rPr>
          <w:sz w:val="41"/>
        </w:rPr>
      </w:pPr>
    </w:p>
    <w:p w:rsidR="00A54C16" w:rsidRDefault="0020637D">
      <w:pPr>
        <w:pStyle w:val="a4"/>
        <w:numPr>
          <w:ilvl w:val="0"/>
          <w:numId w:val="2"/>
        </w:numPr>
        <w:tabs>
          <w:tab w:val="left" w:pos="971"/>
        </w:tabs>
        <w:ind w:left="970" w:right="0"/>
        <w:jc w:val="left"/>
        <w:rPr>
          <w:sz w:val="28"/>
        </w:rPr>
      </w:pPr>
      <w:r>
        <w:rPr>
          <w:sz w:val="28"/>
          <w:u w:val="single"/>
        </w:rPr>
        <w:t>Sur la portée normative d’autres dispositions</w:t>
      </w:r>
      <w:r>
        <w:rPr>
          <w:spacing w:val="-9"/>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right="114" w:firstLine="851"/>
        <w:jc w:val="both"/>
        <w:rPr>
          <w:sz w:val="28"/>
        </w:rPr>
      </w:pPr>
      <w:r>
        <w:rPr>
          <w:sz w:val="28"/>
        </w:rPr>
        <w:t>L’article 68 de la loi déférée se borne à prévoir : « La Nation reconnaît le droit de chaque jeune atteignant à compter de 2020 l’âge de dix-huit ans à bénéficier, avant ses vingt-cinq ans, d’une expérience professionnelle ou associative à l’étranger ». Dé</w:t>
      </w:r>
      <w:r>
        <w:rPr>
          <w:sz w:val="28"/>
        </w:rPr>
        <w:t>pourvu de portée normative, cet article est contraire à la</w:t>
      </w:r>
      <w:r>
        <w:rPr>
          <w:spacing w:val="-9"/>
          <w:sz w:val="28"/>
        </w:rPr>
        <w:t xml:space="preserve"> </w:t>
      </w:r>
      <w:r>
        <w:rPr>
          <w:sz w:val="28"/>
        </w:rPr>
        <w:t>Constitution.</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jc w:val="left"/>
        <w:rPr>
          <w:sz w:val="28"/>
        </w:rPr>
      </w:pPr>
      <w:r>
        <w:rPr>
          <w:sz w:val="28"/>
          <w:u w:val="single"/>
        </w:rPr>
        <w:t>Sur la place d’autres dispositions dans la loi déférée</w:t>
      </w:r>
      <w:r>
        <w:rPr>
          <w:spacing w:val="-15"/>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L’article 11 procède à certaines coordinations consécutives à l’adoption de l’ordonnance du 23 juillet 2015 mentionnée ci-dessus,</w:t>
      </w:r>
      <w:r>
        <w:rPr>
          <w:spacing w:val="-13"/>
          <w:sz w:val="28"/>
        </w:rPr>
        <w:t xml:space="preserve"> </w:t>
      </w:r>
      <w:r>
        <w:rPr>
          <w:sz w:val="28"/>
        </w:rPr>
        <w:t>portant</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pPr>
      <w:r>
        <w:lastRenderedPageBreak/>
        <w:t xml:space="preserve">simplification du régime des associations et des fondations. L’article 46 procède à la ratification </w:t>
      </w:r>
      <w:r>
        <w:t>de cette ordonnance.</w:t>
      </w:r>
    </w:p>
    <w:p w:rsidR="00A54C16" w:rsidRDefault="00A54C16">
      <w:pPr>
        <w:pStyle w:val="a3"/>
        <w:spacing w:before="10"/>
        <w:rPr>
          <w:sz w:val="30"/>
        </w:rPr>
      </w:pPr>
    </w:p>
    <w:p w:rsidR="00A54C16" w:rsidRDefault="0020637D">
      <w:pPr>
        <w:pStyle w:val="a4"/>
        <w:numPr>
          <w:ilvl w:val="0"/>
          <w:numId w:val="1"/>
        </w:numPr>
        <w:tabs>
          <w:tab w:val="left" w:pos="2241"/>
        </w:tabs>
        <w:ind w:left="682" w:right="116" w:firstLine="851"/>
        <w:jc w:val="both"/>
        <w:rPr>
          <w:sz w:val="28"/>
        </w:rPr>
      </w:pPr>
      <w:r>
        <w:rPr>
          <w:sz w:val="28"/>
        </w:rPr>
        <w:t>Les articles 13 et 14 organisent une procédure permettant aux associations de saisir le préfet afin qu’il se prononce sur leur caractère d’intérêt</w:t>
      </w:r>
      <w:r>
        <w:rPr>
          <w:spacing w:val="-1"/>
          <w:sz w:val="28"/>
        </w:rPr>
        <w:t xml:space="preserve"> </w:t>
      </w:r>
      <w:r>
        <w:rPr>
          <w:sz w:val="28"/>
        </w:rPr>
        <w:t>général.</w:t>
      </w:r>
    </w:p>
    <w:p w:rsidR="00A54C16" w:rsidRDefault="00A54C16">
      <w:pPr>
        <w:pStyle w:val="a3"/>
        <w:spacing w:before="2"/>
        <w:rPr>
          <w:sz w:val="31"/>
        </w:rPr>
      </w:pPr>
    </w:p>
    <w:p w:rsidR="00A54C16" w:rsidRDefault="0020637D">
      <w:pPr>
        <w:pStyle w:val="a4"/>
        <w:numPr>
          <w:ilvl w:val="0"/>
          <w:numId w:val="1"/>
        </w:numPr>
        <w:tabs>
          <w:tab w:val="left" w:pos="2241"/>
        </w:tabs>
        <w:ind w:left="682" w:right="114" w:firstLine="851"/>
        <w:jc w:val="both"/>
        <w:rPr>
          <w:sz w:val="28"/>
        </w:rPr>
      </w:pPr>
      <w:r>
        <w:rPr>
          <w:sz w:val="28"/>
        </w:rPr>
        <w:t xml:space="preserve">L’article 15 autorise une association transformée en fondation d’utilité publique à demander le transfert de son agrément pour la durée restant à courir. L’article 16 autorise une association envisageant sa transformation en fondation d’utilité publique à </w:t>
      </w:r>
      <w:r>
        <w:rPr>
          <w:sz w:val="28"/>
        </w:rPr>
        <w:t>interroger l’administration sur le maintien de son</w:t>
      </w:r>
      <w:r>
        <w:rPr>
          <w:spacing w:val="-7"/>
          <w:sz w:val="28"/>
        </w:rPr>
        <w:t xml:space="preserve"> </w:t>
      </w:r>
      <w:r>
        <w:rPr>
          <w:sz w:val="28"/>
        </w:rPr>
        <w:t>agrément.</w:t>
      </w:r>
    </w:p>
    <w:p w:rsidR="00A54C16" w:rsidRDefault="00A54C16">
      <w:pPr>
        <w:pStyle w:val="a3"/>
        <w:spacing w:before="3"/>
        <w:rPr>
          <w:sz w:val="31"/>
        </w:rPr>
      </w:pPr>
    </w:p>
    <w:p w:rsidR="00A54C16" w:rsidRDefault="0020637D">
      <w:pPr>
        <w:pStyle w:val="a4"/>
        <w:numPr>
          <w:ilvl w:val="0"/>
          <w:numId w:val="1"/>
        </w:numPr>
        <w:tabs>
          <w:tab w:val="left" w:pos="2241"/>
        </w:tabs>
        <w:spacing w:before="1"/>
        <w:ind w:left="682" w:firstLine="852"/>
        <w:jc w:val="both"/>
        <w:rPr>
          <w:sz w:val="28"/>
        </w:rPr>
      </w:pPr>
      <w:r>
        <w:rPr>
          <w:sz w:val="28"/>
        </w:rPr>
        <w:t>L’article 31 permet à l’autorité administrative de définir le lieu et les modalités du contrôle de l’instruction dispensée en famille et de mettre en demeure les parents, en cas de refus réitéré</w:t>
      </w:r>
      <w:r>
        <w:rPr>
          <w:sz w:val="28"/>
        </w:rPr>
        <w:t>s de se soumettre à ce contrôle, d’inscrire l’enfant dans un établissement d’enseignement public ou</w:t>
      </w:r>
      <w:r>
        <w:rPr>
          <w:spacing w:val="-2"/>
          <w:sz w:val="28"/>
        </w:rPr>
        <w:t xml:space="preserve"> </w:t>
      </w:r>
      <w:r>
        <w:rPr>
          <w:sz w:val="28"/>
        </w:rPr>
        <w:t>privé.</w:t>
      </w:r>
    </w:p>
    <w:p w:rsidR="00A54C16" w:rsidRDefault="00A54C16">
      <w:pPr>
        <w:pStyle w:val="a3"/>
        <w:spacing w:before="3"/>
        <w:rPr>
          <w:sz w:val="31"/>
        </w:rPr>
      </w:pPr>
    </w:p>
    <w:p w:rsidR="00A54C16" w:rsidRDefault="0020637D">
      <w:pPr>
        <w:pStyle w:val="a4"/>
        <w:numPr>
          <w:ilvl w:val="0"/>
          <w:numId w:val="1"/>
        </w:numPr>
        <w:tabs>
          <w:tab w:val="left" w:pos="2241"/>
        </w:tabs>
        <w:ind w:left="682" w:right="115" w:firstLine="851"/>
        <w:jc w:val="both"/>
        <w:rPr>
          <w:sz w:val="28"/>
        </w:rPr>
      </w:pPr>
      <w:r>
        <w:rPr>
          <w:sz w:val="28"/>
        </w:rPr>
        <w:t>L’article 42 organise une procédure de parrainage républicain.</w:t>
      </w:r>
    </w:p>
    <w:p w:rsidR="00A54C16" w:rsidRDefault="00A54C16">
      <w:pPr>
        <w:pStyle w:val="a3"/>
        <w:spacing w:before="3"/>
        <w:rPr>
          <w:sz w:val="31"/>
        </w:rPr>
      </w:pPr>
    </w:p>
    <w:p w:rsidR="00A54C16" w:rsidRDefault="0020637D">
      <w:pPr>
        <w:pStyle w:val="a4"/>
        <w:numPr>
          <w:ilvl w:val="0"/>
          <w:numId w:val="1"/>
        </w:numPr>
        <w:tabs>
          <w:tab w:val="left" w:pos="2241"/>
        </w:tabs>
        <w:ind w:left="682" w:right="115" w:firstLine="851"/>
        <w:jc w:val="both"/>
        <w:rPr>
          <w:sz w:val="28"/>
        </w:rPr>
      </w:pPr>
      <w:r>
        <w:rPr>
          <w:sz w:val="28"/>
        </w:rPr>
        <w:t>L’article 44 étend les missions du haut conseil à la vie associative.</w:t>
      </w:r>
    </w:p>
    <w:p w:rsidR="00A54C16" w:rsidRDefault="00A54C16">
      <w:pPr>
        <w:pStyle w:val="a3"/>
        <w:spacing w:before="2"/>
        <w:rPr>
          <w:sz w:val="31"/>
        </w:rPr>
      </w:pPr>
    </w:p>
    <w:p w:rsidR="00A54C16" w:rsidRDefault="0020637D">
      <w:pPr>
        <w:pStyle w:val="a4"/>
        <w:numPr>
          <w:ilvl w:val="0"/>
          <w:numId w:val="1"/>
        </w:numPr>
        <w:tabs>
          <w:tab w:val="left" w:pos="2241"/>
        </w:tabs>
        <w:spacing w:before="1"/>
        <w:ind w:left="682" w:right="112" w:firstLine="851"/>
        <w:jc w:val="both"/>
        <w:rPr>
          <w:sz w:val="28"/>
        </w:rPr>
      </w:pPr>
      <w:r>
        <w:rPr>
          <w:sz w:val="28"/>
        </w:rPr>
        <w:t xml:space="preserve">L’article 45 </w:t>
      </w:r>
      <w:r>
        <w:rPr>
          <w:sz w:val="28"/>
        </w:rPr>
        <w:t>autorise l’agence de recouvrement des avoirs saisis et confisqués à mettre à disposition d’associations reconnues d’intérêt général ou d’entreprises solidaires d’utilité sociale agréées, à titre gratuit, un bien immobilier dont la propriété a été transféré</w:t>
      </w:r>
      <w:r>
        <w:rPr>
          <w:sz w:val="28"/>
        </w:rPr>
        <w:t>e à l’État dans le cadre d’une procédure</w:t>
      </w:r>
      <w:r>
        <w:rPr>
          <w:spacing w:val="-5"/>
          <w:sz w:val="28"/>
        </w:rPr>
        <w:t xml:space="preserve"> </w:t>
      </w:r>
      <w:r>
        <w:rPr>
          <w:sz w:val="28"/>
        </w:rPr>
        <w:t>pénale.</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L’article 47 rend inapplicable le droit de préemption prévu par le code de l’urbanisme sur les immeubles cédés à titre gratuit aux fondations, aux associations et, dans les départements du Bas-Rhin, du Haut</w:t>
      </w:r>
      <w:r>
        <w:rPr>
          <w:sz w:val="28"/>
        </w:rPr>
        <w:t>-Rhin et de la Moselle, aux établissements publics du culte ainsi qu’aux associations de droit</w:t>
      </w:r>
      <w:r>
        <w:rPr>
          <w:spacing w:val="-2"/>
          <w:sz w:val="28"/>
        </w:rPr>
        <w:t xml:space="preserve"> </w:t>
      </w:r>
      <w:r>
        <w:rPr>
          <w:sz w:val="28"/>
        </w:rPr>
        <w:t>local.</w:t>
      </w:r>
    </w:p>
    <w:p w:rsidR="00A54C16" w:rsidRDefault="00A54C16">
      <w:pPr>
        <w:pStyle w:val="a3"/>
        <w:spacing w:before="4"/>
        <w:rPr>
          <w:sz w:val="31"/>
        </w:rPr>
      </w:pPr>
    </w:p>
    <w:p w:rsidR="00A54C16" w:rsidRDefault="0020637D">
      <w:pPr>
        <w:pStyle w:val="a4"/>
        <w:numPr>
          <w:ilvl w:val="0"/>
          <w:numId w:val="1"/>
        </w:numPr>
        <w:tabs>
          <w:tab w:val="left" w:pos="2241"/>
        </w:tabs>
        <w:ind w:left="683" w:right="112" w:firstLine="851"/>
        <w:jc w:val="both"/>
        <w:rPr>
          <w:sz w:val="28"/>
        </w:rPr>
      </w:pPr>
      <w:r>
        <w:rPr>
          <w:sz w:val="28"/>
        </w:rPr>
        <w:t>L’article 48 prévoit la remise au Parlement d’un rapport sur l’affectation des comptes inactifs des associations à un compte  d’affectation spéciale. L’a</w:t>
      </w:r>
      <w:r>
        <w:rPr>
          <w:sz w:val="28"/>
        </w:rPr>
        <w:t>rticle 49 impose aux teneurs de comptes de préciser la nature juridique des détenteurs de comptes</w:t>
      </w:r>
      <w:r>
        <w:rPr>
          <w:spacing w:val="-14"/>
          <w:sz w:val="28"/>
        </w:rPr>
        <w:t xml:space="preserve"> </w:t>
      </w:r>
      <w:r>
        <w:rPr>
          <w:sz w:val="28"/>
        </w:rPr>
        <w:t>inactifs.</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39"/>
          <w:tab w:val="left" w:pos="2240"/>
        </w:tabs>
        <w:spacing w:before="79"/>
        <w:ind w:left="2239" w:right="0"/>
        <w:jc w:val="left"/>
        <w:rPr>
          <w:sz w:val="28"/>
        </w:rPr>
      </w:pPr>
      <w:r>
        <w:rPr>
          <w:sz w:val="28"/>
        </w:rPr>
        <w:lastRenderedPageBreak/>
        <w:t>L’article 50 assouplit les règles de vente au</w:t>
      </w:r>
      <w:r>
        <w:rPr>
          <w:spacing w:val="-12"/>
          <w:sz w:val="28"/>
        </w:rPr>
        <w:t xml:space="preserve"> </w:t>
      </w:r>
      <w:r>
        <w:rPr>
          <w:sz w:val="28"/>
        </w:rPr>
        <w:t>déballage.</w:t>
      </w:r>
    </w:p>
    <w:p w:rsidR="00A54C16" w:rsidRDefault="00A54C16">
      <w:pPr>
        <w:pStyle w:val="a3"/>
        <w:spacing w:before="5"/>
        <w:rPr>
          <w:sz w:val="31"/>
        </w:rPr>
      </w:pPr>
    </w:p>
    <w:p w:rsidR="00A54C16" w:rsidRDefault="0020637D">
      <w:pPr>
        <w:pStyle w:val="a4"/>
        <w:numPr>
          <w:ilvl w:val="0"/>
          <w:numId w:val="1"/>
        </w:numPr>
        <w:tabs>
          <w:tab w:val="left" w:pos="2241"/>
        </w:tabs>
        <w:ind w:left="682" w:right="114" w:firstLine="851"/>
        <w:jc w:val="both"/>
        <w:rPr>
          <w:sz w:val="28"/>
        </w:rPr>
      </w:pPr>
      <w:r>
        <w:rPr>
          <w:sz w:val="28"/>
        </w:rPr>
        <w:t>L’article 51 inverse la règle de séniorité en cas d’égalité de suffrages aux élections</w:t>
      </w:r>
      <w:r>
        <w:rPr>
          <w:spacing w:val="-3"/>
          <w:sz w:val="28"/>
        </w:rPr>
        <w:t xml:space="preserve"> </w:t>
      </w:r>
      <w:r>
        <w:rPr>
          <w:sz w:val="28"/>
        </w:rPr>
        <w:t>politiques.</w:t>
      </w:r>
    </w:p>
    <w:p w:rsidR="00A54C16" w:rsidRDefault="00A54C16">
      <w:pPr>
        <w:pStyle w:val="a3"/>
        <w:spacing w:before="3"/>
        <w:rPr>
          <w:sz w:val="31"/>
        </w:rPr>
      </w:pPr>
    </w:p>
    <w:p w:rsidR="00A54C16" w:rsidRDefault="0020637D">
      <w:pPr>
        <w:pStyle w:val="a4"/>
        <w:numPr>
          <w:ilvl w:val="0"/>
          <w:numId w:val="1"/>
        </w:numPr>
        <w:tabs>
          <w:tab w:val="left" w:pos="2241"/>
        </w:tabs>
        <w:ind w:left="682" w:right="116" w:firstLine="851"/>
        <w:jc w:val="both"/>
        <w:rPr>
          <w:sz w:val="28"/>
        </w:rPr>
      </w:pPr>
      <w:r>
        <w:rPr>
          <w:sz w:val="28"/>
        </w:rPr>
        <w:t>L’article 52 est relatif à la mise à disposition de locaux, par les communes, au bénéfice des</w:t>
      </w:r>
      <w:r>
        <w:rPr>
          <w:spacing w:val="-9"/>
          <w:sz w:val="28"/>
        </w:rPr>
        <w:t xml:space="preserve"> </w:t>
      </w:r>
      <w:r>
        <w:rPr>
          <w:sz w:val="28"/>
        </w:rPr>
        <w:t>parlementaires.</w:t>
      </w:r>
    </w:p>
    <w:p w:rsidR="00A54C16" w:rsidRDefault="00A54C16">
      <w:pPr>
        <w:pStyle w:val="a3"/>
        <w:spacing w:before="2"/>
        <w:rPr>
          <w:sz w:val="31"/>
        </w:rPr>
      </w:pPr>
    </w:p>
    <w:p w:rsidR="00A54C16" w:rsidRDefault="0020637D">
      <w:pPr>
        <w:pStyle w:val="a4"/>
        <w:numPr>
          <w:ilvl w:val="0"/>
          <w:numId w:val="1"/>
        </w:numPr>
        <w:tabs>
          <w:tab w:val="left" w:pos="2241"/>
        </w:tabs>
        <w:ind w:left="683" w:firstLine="851"/>
        <w:jc w:val="both"/>
        <w:rPr>
          <w:sz w:val="28"/>
        </w:rPr>
      </w:pPr>
      <w:r>
        <w:rPr>
          <w:sz w:val="28"/>
        </w:rPr>
        <w:t>L’article 69 prévoit la remise au Parlement d</w:t>
      </w:r>
      <w:r>
        <w:rPr>
          <w:sz w:val="28"/>
        </w:rPr>
        <w:t>’un rapport sur  la création d’un office francophone et méditerranéen de la</w:t>
      </w:r>
      <w:r>
        <w:rPr>
          <w:spacing w:val="-13"/>
          <w:sz w:val="28"/>
        </w:rPr>
        <w:t xml:space="preserve"> </w:t>
      </w:r>
      <w:r>
        <w:rPr>
          <w:sz w:val="28"/>
        </w:rPr>
        <w:t>jeunesse.</w:t>
      </w:r>
    </w:p>
    <w:p w:rsidR="00A54C16" w:rsidRDefault="00A54C16">
      <w:pPr>
        <w:pStyle w:val="a3"/>
        <w:spacing w:before="5"/>
        <w:rPr>
          <w:sz w:val="31"/>
        </w:rPr>
      </w:pPr>
    </w:p>
    <w:p w:rsidR="00A54C16" w:rsidRDefault="0020637D">
      <w:pPr>
        <w:pStyle w:val="a4"/>
        <w:numPr>
          <w:ilvl w:val="0"/>
          <w:numId w:val="1"/>
        </w:numPr>
        <w:tabs>
          <w:tab w:val="left" w:pos="2241"/>
        </w:tabs>
        <w:ind w:left="683" w:right="112" w:firstLine="851"/>
        <w:jc w:val="both"/>
        <w:rPr>
          <w:sz w:val="28"/>
        </w:rPr>
      </w:pPr>
      <w:r>
        <w:rPr>
          <w:sz w:val="28"/>
        </w:rPr>
        <w:t xml:space="preserve">L’article 110 supprime l’exigence que le préjudice subi par le bénéficiaire d’un permis de construire soit excessif pour qu’il soit autorisé  à en demander réparation à </w:t>
      </w:r>
      <w:r>
        <w:rPr>
          <w:sz w:val="28"/>
        </w:rPr>
        <w:t>l’auteur d’un recours abusif contre ce</w:t>
      </w:r>
      <w:r>
        <w:rPr>
          <w:spacing w:val="-21"/>
          <w:sz w:val="28"/>
        </w:rPr>
        <w:t xml:space="preserve"> </w:t>
      </w:r>
      <w:r>
        <w:rPr>
          <w:sz w:val="28"/>
        </w:rPr>
        <w:t>permis.</w:t>
      </w:r>
    </w:p>
    <w:p w:rsidR="00A54C16" w:rsidRDefault="00A54C16">
      <w:pPr>
        <w:pStyle w:val="a3"/>
        <w:spacing w:before="2"/>
        <w:rPr>
          <w:sz w:val="31"/>
        </w:rPr>
      </w:pPr>
    </w:p>
    <w:p w:rsidR="00A54C16" w:rsidRDefault="0020637D">
      <w:pPr>
        <w:pStyle w:val="a4"/>
        <w:numPr>
          <w:ilvl w:val="0"/>
          <w:numId w:val="1"/>
        </w:numPr>
        <w:tabs>
          <w:tab w:val="left" w:pos="2242"/>
        </w:tabs>
        <w:spacing w:before="1"/>
        <w:ind w:left="683" w:right="114" w:firstLine="851"/>
        <w:jc w:val="both"/>
        <w:rPr>
          <w:sz w:val="28"/>
        </w:rPr>
      </w:pPr>
      <w:r>
        <w:rPr>
          <w:sz w:val="28"/>
        </w:rPr>
        <w:t>L’article 112 autorise l’expérimentation de conventions d’occupation à titre gratuit des bâtiments privés ou publics vacants, au bénéfice</w:t>
      </w:r>
      <w:r>
        <w:rPr>
          <w:spacing w:val="-2"/>
          <w:sz w:val="28"/>
        </w:rPr>
        <w:t xml:space="preserve"> </w:t>
      </w:r>
      <w:r>
        <w:rPr>
          <w:sz w:val="28"/>
        </w:rPr>
        <w:t>d’associations.</w:t>
      </w:r>
    </w:p>
    <w:p w:rsidR="00A54C16" w:rsidRDefault="00A54C16">
      <w:pPr>
        <w:pStyle w:val="a3"/>
        <w:spacing w:before="2"/>
        <w:rPr>
          <w:sz w:val="31"/>
        </w:rPr>
      </w:pPr>
    </w:p>
    <w:p w:rsidR="00A54C16" w:rsidRDefault="0020637D">
      <w:pPr>
        <w:pStyle w:val="a4"/>
        <w:numPr>
          <w:ilvl w:val="0"/>
          <w:numId w:val="1"/>
        </w:numPr>
        <w:tabs>
          <w:tab w:val="left" w:pos="2242"/>
        </w:tabs>
        <w:ind w:left="683" w:right="115" w:firstLine="851"/>
        <w:jc w:val="both"/>
        <w:rPr>
          <w:sz w:val="28"/>
        </w:rPr>
      </w:pPr>
      <w:r>
        <w:rPr>
          <w:sz w:val="28"/>
        </w:rPr>
        <w:t>L’article 119 prévoit la résiliation de plein droit des contrats de location en cas de condamnation pour trafic de stupéfiants du locataire ou de l’un des occupants du</w:t>
      </w:r>
      <w:r>
        <w:rPr>
          <w:spacing w:val="-6"/>
          <w:sz w:val="28"/>
        </w:rPr>
        <w:t xml:space="preserve"> </w:t>
      </w:r>
      <w:r>
        <w:rPr>
          <w:sz w:val="28"/>
        </w:rPr>
        <w:t>logement.</w:t>
      </w:r>
    </w:p>
    <w:p w:rsidR="00A54C16" w:rsidRDefault="00A54C16">
      <w:pPr>
        <w:pStyle w:val="a3"/>
        <w:spacing w:before="4"/>
        <w:rPr>
          <w:sz w:val="31"/>
        </w:rPr>
      </w:pPr>
    </w:p>
    <w:p w:rsidR="00A54C16" w:rsidRDefault="0020637D">
      <w:pPr>
        <w:pStyle w:val="a4"/>
        <w:numPr>
          <w:ilvl w:val="0"/>
          <w:numId w:val="1"/>
        </w:numPr>
        <w:tabs>
          <w:tab w:val="left" w:pos="2242"/>
        </w:tabs>
        <w:ind w:left="683" w:right="114" w:firstLine="851"/>
        <w:jc w:val="both"/>
        <w:rPr>
          <w:sz w:val="28"/>
        </w:rPr>
      </w:pPr>
      <w:r>
        <w:rPr>
          <w:sz w:val="28"/>
        </w:rPr>
        <w:t>L’article 126 réduit les sanctions pénales applicables en cas d’occupation en</w:t>
      </w:r>
      <w:r>
        <w:rPr>
          <w:sz w:val="28"/>
        </w:rPr>
        <w:t xml:space="preserve"> réunion des espaces communs ou des toits des immeubles collectifs</w:t>
      </w:r>
      <w:r>
        <w:rPr>
          <w:spacing w:val="-3"/>
          <w:sz w:val="28"/>
        </w:rPr>
        <w:t xml:space="preserve"> </w:t>
      </w:r>
      <w:r>
        <w:rPr>
          <w:sz w:val="28"/>
        </w:rPr>
        <w:t>d’habitation.</w:t>
      </w:r>
    </w:p>
    <w:p w:rsidR="00A54C16" w:rsidRDefault="00A54C16">
      <w:pPr>
        <w:pStyle w:val="a3"/>
        <w:spacing w:before="2"/>
        <w:rPr>
          <w:sz w:val="31"/>
        </w:rPr>
      </w:pPr>
    </w:p>
    <w:p w:rsidR="00A54C16" w:rsidRDefault="0020637D">
      <w:pPr>
        <w:pStyle w:val="a4"/>
        <w:numPr>
          <w:ilvl w:val="0"/>
          <w:numId w:val="1"/>
        </w:numPr>
        <w:tabs>
          <w:tab w:val="left" w:pos="2242"/>
        </w:tabs>
        <w:spacing w:before="1" w:line="242" w:lineRule="auto"/>
        <w:ind w:left="683" w:right="115" w:firstLine="851"/>
        <w:jc w:val="both"/>
        <w:rPr>
          <w:sz w:val="28"/>
        </w:rPr>
      </w:pPr>
      <w:r>
        <w:rPr>
          <w:sz w:val="28"/>
        </w:rPr>
        <w:t>L’article 145 modifie le champ de compétence des sociétés publiques locales et des sociétés publiques locales</w:t>
      </w:r>
      <w:r>
        <w:rPr>
          <w:spacing w:val="-12"/>
          <w:sz w:val="28"/>
        </w:rPr>
        <w:t xml:space="preserve"> </w:t>
      </w:r>
      <w:r>
        <w:rPr>
          <w:sz w:val="28"/>
        </w:rPr>
        <w:t>d’aménagement.</w:t>
      </w:r>
    </w:p>
    <w:p w:rsidR="00A54C16" w:rsidRDefault="00A54C16">
      <w:pPr>
        <w:pStyle w:val="a3"/>
        <w:spacing w:before="10"/>
        <w:rPr>
          <w:sz w:val="30"/>
        </w:rPr>
      </w:pPr>
    </w:p>
    <w:p w:rsidR="00A54C16" w:rsidRDefault="0020637D">
      <w:pPr>
        <w:pStyle w:val="a4"/>
        <w:numPr>
          <w:ilvl w:val="0"/>
          <w:numId w:val="1"/>
        </w:numPr>
        <w:tabs>
          <w:tab w:val="left" w:pos="2242"/>
        </w:tabs>
        <w:ind w:left="684" w:firstLine="851"/>
        <w:jc w:val="both"/>
        <w:rPr>
          <w:sz w:val="28"/>
        </w:rPr>
      </w:pPr>
      <w:r>
        <w:rPr>
          <w:sz w:val="28"/>
        </w:rPr>
        <w:t>L’article 163 instaure une autorisation d’absenc</w:t>
      </w:r>
      <w:r>
        <w:rPr>
          <w:sz w:val="28"/>
        </w:rPr>
        <w:t>e des agents publics recevant une assistance médicale à la</w:t>
      </w:r>
      <w:r>
        <w:rPr>
          <w:spacing w:val="-10"/>
          <w:sz w:val="28"/>
        </w:rPr>
        <w:t xml:space="preserve"> </w:t>
      </w:r>
      <w:r>
        <w:rPr>
          <w:sz w:val="28"/>
        </w:rPr>
        <w:t>procréation.</w:t>
      </w:r>
    </w:p>
    <w:p w:rsidR="00A54C16" w:rsidRDefault="00A54C16">
      <w:pPr>
        <w:pStyle w:val="a3"/>
        <w:spacing w:before="2"/>
        <w:rPr>
          <w:sz w:val="31"/>
        </w:rPr>
      </w:pPr>
    </w:p>
    <w:p w:rsidR="00A54C16" w:rsidRDefault="0020637D">
      <w:pPr>
        <w:pStyle w:val="a4"/>
        <w:numPr>
          <w:ilvl w:val="0"/>
          <w:numId w:val="1"/>
        </w:numPr>
        <w:tabs>
          <w:tab w:val="left" w:pos="2242"/>
        </w:tabs>
        <w:ind w:left="684" w:right="111" w:firstLine="851"/>
        <w:jc w:val="both"/>
        <w:rPr>
          <w:sz w:val="28"/>
        </w:rPr>
      </w:pPr>
      <w:r>
        <w:rPr>
          <w:sz w:val="28"/>
        </w:rPr>
        <w:t>L’article 169 modifie le dispositif de rémunération dégressive des fonctionnaires territoriaux momentanément privés</w:t>
      </w:r>
      <w:r>
        <w:rPr>
          <w:spacing w:val="-7"/>
          <w:sz w:val="28"/>
        </w:rPr>
        <w:t xml:space="preserve"> </w:t>
      </w:r>
      <w:r>
        <w:rPr>
          <w:sz w:val="28"/>
        </w:rPr>
        <w:t>d’emploi.</w:t>
      </w:r>
    </w:p>
    <w:p w:rsidR="00A54C16" w:rsidRDefault="00A54C16">
      <w:pPr>
        <w:pStyle w:val="a3"/>
        <w:spacing w:before="3"/>
        <w:rPr>
          <w:sz w:val="31"/>
        </w:rPr>
      </w:pPr>
    </w:p>
    <w:p w:rsidR="00A54C16" w:rsidRDefault="0020637D">
      <w:pPr>
        <w:pStyle w:val="a4"/>
        <w:numPr>
          <w:ilvl w:val="0"/>
          <w:numId w:val="1"/>
        </w:numPr>
        <w:tabs>
          <w:tab w:val="left" w:pos="2243"/>
        </w:tabs>
        <w:ind w:left="684" w:right="111" w:firstLine="851"/>
        <w:jc w:val="both"/>
        <w:rPr>
          <w:sz w:val="28"/>
        </w:rPr>
      </w:pPr>
      <w:r>
        <w:rPr>
          <w:sz w:val="28"/>
        </w:rPr>
        <w:t xml:space="preserve">L’article 203 prévoit la délivrance de plein droit d’une carte de résident aux victimes de violences conjugales. L’article 204 interdit le retrait du titre de séjour d’une personne victime de violences familiales. L’article 209 modifie le régime juridique </w:t>
      </w:r>
      <w:r>
        <w:rPr>
          <w:sz w:val="28"/>
        </w:rPr>
        <w:t>de l’ordonnance de protection délivrée</w:t>
      </w:r>
      <w:r>
        <w:rPr>
          <w:spacing w:val="51"/>
          <w:sz w:val="28"/>
        </w:rPr>
        <w:t xml:space="preserve"> </w:t>
      </w:r>
      <w:r>
        <w:rPr>
          <w:sz w:val="28"/>
        </w:rPr>
        <w:t>par</w:t>
      </w:r>
      <w:r>
        <w:rPr>
          <w:spacing w:val="51"/>
          <w:sz w:val="28"/>
        </w:rPr>
        <w:t xml:space="preserve"> </w:t>
      </w:r>
      <w:r>
        <w:rPr>
          <w:sz w:val="28"/>
        </w:rPr>
        <w:t>le</w:t>
      </w:r>
      <w:r>
        <w:rPr>
          <w:spacing w:val="53"/>
          <w:sz w:val="28"/>
        </w:rPr>
        <w:t xml:space="preserve"> </w:t>
      </w:r>
      <w:r>
        <w:rPr>
          <w:sz w:val="28"/>
        </w:rPr>
        <w:t>juge</w:t>
      </w:r>
      <w:r>
        <w:rPr>
          <w:spacing w:val="51"/>
          <w:sz w:val="28"/>
        </w:rPr>
        <w:t xml:space="preserve"> </w:t>
      </w:r>
      <w:r>
        <w:rPr>
          <w:sz w:val="28"/>
        </w:rPr>
        <w:t>aux</w:t>
      </w:r>
      <w:r>
        <w:rPr>
          <w:spacing w:val="54"/>
          <w:sz w:val="28"/>
        </w:rPr>
        <w:t xml:space="preserve"> </w:t>
      </w:r>
      <w:r>
        <w:rPr>
          <w:sz w:val="28"/>
        </w:rPr>
        <w:t>affaires</w:t>
      </w:r>
      <w:r>
        <w:rPr>
          <w:spacing w:val="54"/>
          <w:sz w:val="28"/>
        </w:rPr>
        <w:t xml:space="preserve"> </w:t>
      </w:r>
      <w:r>
        <w:rPr>
          <w:sz w:val="28"/>
        </w:rPr>
        <w:t>familiales.</w:t>
      </w:r>
      <w:r>
        <w:rPr>
          <w:spacing w:val="53"/>
          <w:sz w:val="28"/>
        </w:rPr>
        <w:t xml:space="preserve"> </w:t>
      </w:r>
      <w:r>
        <w:rPr>
          <w:sz w:val="28"/>
        </w:rPr>
        <w:t>L’article</w:t>
      </w:r>
      <w:r>
        <w:rPr>
          <w:spacing w:val="53"/>
          <w:sz w:val="28"/>
        </w:rPr>
        <w:t xml:space="preserve"> </w:t>
      </w:r>
      <w:r>
        <w:rPr>
          <w:sz w:val="28"/>
        </w:rPr>
        <w:t>210</w:t>
      </w:r>
      <w:r>
        <w:rPr>
          <w:spacing w:val="54"/>
          <w:sz w:val="28"/>
        </w:rPr>
        <w:t xml:space="preserve"> </w:t>
      </w:r>
      <w:r>
        <w:rPr>
          <w:sz w:val="28"/>
        </w:rPr>
        <w:t>est</w:t>
      </w:r>
      <w:r>
        <w:rPr>
          <w:spacing w:val="52"/>
          <w:sz w:val="28"/>
        </w:rPr>
        <w:t xml:space="preserve"> </w:t>
      </w:r>
      <w:r>
        <w:rPr>
          <w:sz w:val="28"/>
        </w:rPr>
        <w:t>relatif</w:t>
      </w:r>
      <w:r>
        <w:rPr>
          <w:spacing w:val="53"/>
          <w:sz w:val="28"/>
        </w:rPr>
        <w:t xml:space="preserve"> </w:t>
      </w:r>
      <w:r>
        <w:rPr>
          <w:sz w:val="28"/>
        </w:rPr>
        <w:t>aux</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spacing w:before="79" w:line="242" w:lineRule="auto"/>
        <w:ind w:left="682" w:right="113"/>
      </w:pPr>
      <w:r>
        <w:lastRenderedPageBreak/>
        <w:t>sanctions en cas de violation des mesures de protection ordonnées par un État étranger.</w:t>
      </w:r>
    </w:p>
    <w:p w:rsidR="00A54C16" w:rsidRDefault="00A54C16">
      <w:pPr>
        <w:pStyle w:val="a3"/>
        <w:spacing w:before="10"/>
        <w:rPr>
          <w:sz w:val="30"/>
        </w:rPr>
      </w:pPr>
    </w:p>
    <w:p w:rsidR="00A54C16" w:rsidRDefault="0020637D">
      <w:pPr>
        <w:pStyle w:val="a4"/>
        <w:numPr>
          <w:ilvl w:val="0"/>
          <w:numId w:val="1"/>
        </w:numPr>
        <w:tabs>
          <w:tab w:val="left" w:pos="2239"/>
          <w:tab w:val="left" w:pos="2240"/>
        </w:tabs>
        <w:ind w:left="2239" w:right="0"/>
        <w:jc w:val="left"/>
        <w:rPr>
          <w:sz w:val="28"/>
        </w:rPr>
      </w:pPr>
      <w:r>
        <w:rPr>
          <w:sz w:val="28"/>
        </w:rPr>
        <w:t>L’article 220 est relatif au métier de médi</w:t>
      </w:r>
      <w:r>
        <w:rPr>
          <w:sz w:val="28"/>
        </w:rPr>
        <w:t>ateur</w:t>
      </w:r>
      <w:r>
        <w:rPr>
          <w:spacing w:val="-11"/>
          <w:sz w:val="28"/>
        </w:rPr>
        <w:t xml:space="preserve"> </w:t>
      </w:r>
      <w:r>
        <w:rPr>
          <w:sz w:val="28"/>
        </w:rPr>
        <w:t>social.</w:t>
      </w:r>
    </w:p>
    <w:p w:rsidR="00A54C16" w:rsidRDefault="00A54C16">
      <w:pPr>
        <w:pStyle w:val="a3"/>
        <w:spacing w:before="3"/>
        <w:rPr>
          <w:sz w:val="31"/>
        </w:rPr>
      </w:pPr>
    </w:p>
    <w:p w:rsidR="00A54C16" w:rsidRDefault="0020637D">
      <w:pPr>
        <w:pStyle w:val="a4"/>
        <w:numPr>
          <w:ilvl w:val="0"/>
          <w:numId w:val="1"/>
        </w:numPr>
        <w:tabs>
          <w:tab w:val="left" w:pos="2240"/>
        </w:tabs>
        <w:ind w:left="682" w:right="112" w:firstLine="851"/>
        <w:jc w:val="both"/>
        <w:rPr>
          <w:sz w:val="28"/>
        </w:rPr>
      </w:pPr>
      <w:bookmarkStart w:id="3" w:name="_bookmark1"/>
      <w:bookmarkEnd w:id="3"/>
      <w:r>
        <w:rPr>
          <w:sz w:val="28"/>
        </w:rPr>
        <w:t>Introduites en première lecture, les dispositions des articles 11, 13, 14, 15, 16, 31, 42, 44, 45, 46, 47, 48, 49, 50, 51, 52, 69, 110, 112, 119, 126, 145, 163, 169, 203, 204, 209, 210 et 220 de la loi déférée ne présentent pas de lien, même</w:t>
      </w:r>
      <w:r>
        <w:rPr>
          <w:sz w:val="28"/>
        </w:rPr>
        <w:t xml:space="preserve"> indirect, avec celles qui figuraient dans le projet de loi déposé sur le bureau de l’Assemblée nationale. Adoptées selon une procédure contraire à la Constitution, elles lui sont donc</w:t>
      </w:r>
      <w:r>
        <w:rPr>
          <w:spacing w:val="-17"/>
          <w:sz w:val="28"/>
        </w:rPr>
        <w:t xml:space="preserve"> </w:t>
      </w:r>
      <w:r>
        <w:rPr>
          <w:sz w:val="28"/>
        </w:rPr>
        <w:t>contraires.</w:t>
      </w:r>
    </w:p>
    <w:p w:rsidR="00A54C16" w:rsidRDefault="00A54C16">
      <w:pPr>
        <w:pStyle w:val="a3"/>
        <w:spacing w:before="9"/>
        <w:rPr>
          <w:sz w:val="41"/>
        </w:rPr>
      </w:pPr>
    </w:p>
    <w:p w:rsidR="00A54C16" w:rsidRDefault="0020637D">
      <w:pPr>
        <w:pStyle w:val="a4"/>
        <w:numPr>
          <w:ilvl w:val="0"/>
          <w:numId w:val="2"/>
        </w:numPr>
        <w:tabs>
          <w:tab w:val="left" w:pos="971"/>
        </w:tabs>
        <w:ind w:left="970" w:right="0"/>
        <w:jc w:val="left"/>
        <w:rPr>
          <w:sz w:val="28"/>
        </w:rPr>
      </w:pPr>
      <w:r>
        <w:rPr>
          <w:sz w:val="28"/>
          <w:u w:val="single"/>
        </w:rPr>
        <w:t>Sur d’autres dispositions</w:t>
      </w:r>
      <w:r>
        <w:rPr>
          <w:spacing w:val="-1"/>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5" w:firstLine="852"/>
        <w:jc w:val="both"/>
        <w:rPr>
          <w:sz w:val="28"/>
        </w:rPr>
      </w:pPr>
      <w:r>
        <w:rPr>
          <w:sz w:val="28"/>
        </w:rPr>
        <w:t xml:space="preserve">Le 2° de l’article 173 de la loi déférée modifie l’article 24 </w:t>
      </w:r>
      <w:r>
        <w:rPr>
          <w:i/>
          <w:sz w:val="28"/>
        </w:rPr>
        <w:t xml:space="preserve">bis </w:t>
      </w:r>
      <w:r>
        <w:rPr>
          <w:sz w:val="28"/>
        </w:rPr>
        <w:t>de la loi du 29 juillet 1881. En application du dernier alinéa de ce 2°, la négation, la minoration ou la banalisation de façon outrancière d’un crime de génocide, d’un crime contre l’humani</w:t>
      </w:r>
      <w:r>
        <w:rPr>
          <w:sz w:val="28"/>
        </w:rPr>
        <w:t>té, d’un crime de réduction en esclavage ou d’un crime de guerre sont punies d’un an d’emprisonnement et de 45 000 euros d’amende lorsque cette négation, cette minoration ou cette banalisation constituent une incitation à la violence ou à la haine par réfé</w:t>
      </w:r>
      <w:r>
        <w:rPr>
          <w:sz w:val="28"/>
        </w:rPr>
        <w:t>rence à la prétendue race, la couleur, la religion, l’ascendance ou l’origine</w:t>
      </w:r>
      <w:r>
        <w:rPr>
          <w:spacing w:val="-3"/>
          <w:sz w:val="28"/>
        </w:rPr>
        <w:t xml:space="preserve"> </w:t>
      </w:r>
      <w:r>
        <w:rPr>
          <w:sz w:val="28"/>
        </w:rPr>
        <w:t>nationale.</w:t>
      </w:r>
    </w:p>
    <w:p w:rsidR="00A54C16" w:rsidRDefault="00A54C16">
      <w:pPr>
        <w:pStyle w:val="a3"/>
        <w:spacing w:before="2"/>
        <w:rPr>
          <w:sz w:val="31"/>
        </w:rPr>
      </w:pPr>
    </w:p>
    <w:p w:rsidR="00A54C16" w:rsidRDefault="0020637D">
      <w:pPr>
        <w:pStyle w:val="a4"/>
        <w:numPr>
          <w:ilvl w:val="0"/>
          <w:numId w:val="1"/>
        </w:numPr>
        <w:tabs>
          <w:tab w:val="left" w:pos="2240"/>
        </w:tabs>
        <w:ind w:left="682" w:firstLine="851"/>
        <w:jc w:val="both"/>
        <w:rPr>
          <w:sz w:val="28"/>
        </w:rPr>
      </w:pPr>
      <w:r>
        <w:rPr>
          <w:sz w:val="28"/>
        </w:rPr>
        <w:t>Aux termes de l’article 11 de la Déclaration de 1789 : « La libre communication des pensées et des opinions est un des droits les plus précieux de l’homme : tout citoyen peut donc parler, écrire, imprimer librement, sauf à répondre de l’abus de cette liber</w:t>
      </w:r>
      <w:r>
        <w:rPr>
          <w:sz w:val="28"/>
        </w:rPr>
        <w:t xml:space="preserve">té dans les cas déterminés par la loi ». L’article 34 de la Constitution dispose : « La loi fixe les règles concernant... les droits civiques et les garanties fondamentales accordées aux citoyens pour l’exercice des libertés publiques ». Sur ce fondement, </w:t>
      </w:r>
      <w:r>
        <w:rPr>
          <w:sz w:val="28"/>
        </w:rPr>
        <w:t>il est loisible au législateur d’édicter des règles concernant l’exercice du droit de libre communication et de la liberté de parler, d’écrire et d’imprimer. Il lui est également loisible, à ce titre, d’instituer des incriminations réprimant les abus de l’</w:t>
      </w:r>
      <w:r>
        <w:rPr>
          <w:sz w:val="28"/>
        </w:rPr>
        <w:t>exercice de la liberté d’expression et de communication qui portent atteinte à l’ordre public et aux droits des tiers. Cependant, la liberté d’expression et de communication est d’autant plus précieuse que son exercice est une condition de la démocratie et</w:t>
      </w:r>
      <w:r>
        <w:rPr>
          <w:sz w:val="28"/>
        </w:rPr>
        <w:t xml:space="preserve"> l’une des garanties du respect des autres droits et libertés. Il s’ensuit que les atteintes portées à l’exercice de cette liberté doivent être nécessaires, adaptées et proportionnées à l’objectif</w:t>
      </w:r>
      <w:r>
        <w:rPr>
          <w:spacing w:val="-3"/>
          <w:sz w:val="28"/>
        </w:rPr>
        <w:t xml:space="preserve"> </w:t>
      </w:r>
      <w:r>
        <w:rPr>
          <w:sz w:val="28"/>
        </w:rPr>
        <w:t>poursuivi.</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4"/>
        <w:numPr>
          <w:ilvl w:val="0"/>
          <w:numId w:val="1"/>
        </w:numPr>
        <w:tabs>
          <w:tab w:val="left" w:pos="2240"/>
        </w:tabs>
        <w:spacing w:before="79"/>
        <w:ind w:left="682" w:firstLine="851"/>
        <w:jc w:val="both"/>
        <w:rPr>
          <w:sz w:val="28"/>
        </w:rPr>
      </w:pPr>
      <w:r>
        <w:rPr>
          <w:sz w:val="28"/>
        </w:rPr>
        <w:lastRenderedPageBreak/>
        <w:t>Le dernier alinéa du 2° de l’a</w:t>
      </w:r>
      <w:r>
        <w:rPr>
          <w:sz w:val="28"/>
        </w:rPr>
        <w:t>rticle 173 permet de réprimer la négation de certains crimes, lorsque cette négation constitue une incitation à la violence ou à la haine par référence à la prétendue race, la couleur, la religion, l’ascendance ou l’origine nationale, y compris si ces crim</w:t>
      </w:r>
      <w:r>
        <w:rPr>
          <w:sz w:val="28"/>
        </w:rPr>
        <w:t>es n’ont pas fait l’objet d’une condamnation</w:t>
      </w:r>
      <w:r>
        <w:rPr>
          <w:spacing w:val="-6"/>
          <w:sz w:val="28"/>
        </w:rPr>
        <w:t xml:space="preserve"> </w:t>
      </w:r>
      <w:r>
        <w:rPr>
          <w:sz w:val="28"/>
        </w:rPr>
        <w:t>judiciaire.</w:t>
      </w:r>
    </w:p>
    <w:p w:rsidR="00A54C16" w:rsidRDefault="00A54C16">
      <w:pPr>
        <w:pStyle w:val="a3"/>
        <w:spacing w:before="3"/>
        <w:rPr>
          <w:sz w:val="31"/>
        </w:rPr>
      </w:pPr>
    </w:p>
    <w:p w:rsidR="00A54C16" w:rsidRDefault="0020637D">
      <w:pPr>
        <w:pStyle w:val="a4"/>
        <w:numPr>
          <w:ilvl w:val="0"/>
          <w:numId w:val="1"/>
        </w:numPr>
        <w:tabs>
          <w:tab w:val="left" w:pos="2241"/>
        </w:tabs>
        <w:ind w:left="682" w:firstLine="852"/>
        <w:jc w:val="both"/>
        <w:rPr>
          <w:sz w:val="28"/>
        </w:rPr>
      </w:pPr>
      <w:r>
        <w:rPr>
          <w:sz w:val="28"/>
        </w:rPr>
        <w:t xml:space="preserve">En premier lieu, si la négation, la minoration ou la banalisation de façon outrancière de certains crimes de génocide, crimes contre l’humanité, crimes de réduction en esclavage ou crimes de guerre </w:t>
      </w:r>
      <w:r>
        <w:rPr>
          <w:sz w:val="28"/>
        </w:rPr>
        <w:t xml:space="preserve">peuvent constituer une incitation à la haine ou à la violence à caractère raciste ou religieux, elles ne revêtent pas, par elles-mêmes et en toute hypothèse, ce caractère. De tels actes ou propos ne constituent pas non  plus, en eux-mêmes, une apologie de </w:t>
      </w:r>
      <w:r>
        <w:rPr>
          <w:sz w:val="28"/>
        </w:rPr>
        <w:t xml:space="preserve">comportements réprimés par la loi pénale. Dès lors, la négation, la minoration ou la banalisation de façon outrancière de ces crimes ne peuvent, de manière générale, être réputées constituer par elles-mêmes un abus de l’exercice de la liberté d’expression </w:t>
      </w:r>
      <w:r>
        <w:rPr>
          <w:sz w:val="28"/>
        </w:rPr>
        <w:t>et de communication portant atteinte à l’ordre public et aux droits des</w:t>
      </w:r>
      <w:r>
        <w:rPr>
          <w:spacing w:val="-20"/>
          <w:sz w:val="28"/>
        </w:rPr>
        <w:t xml:space="preserve"> </w:t>
      </w:r>
      <w:r>
        <w:rPr>
          <w:sz w:val="28"/>
        </w:rPr>
        <w:t>tiers.</w:t>
      </w:r>
    </w:p>
    <w:p w:rsidR="00A54C16" w:rsidRDefault="00A54C16">
      <w:pPr>
        <w:pStyle w:val="a3"/>
        <w:spacing w:before="4"/>
        <w:rPr>
          <w:sz w:val="31"/>
        </w:rPr>
      </w:pPr>
    </w:p>
    <w:p w:rsidR="00A54C16" w:rsidRDefault="0020637D">
      <w:pPr>
        <w:pStyle w:val="a4"/>
        <w:numPr>
          <w:ilvl w:val="0"/>
          <w:numId w:val="1"/>
        </w:numPr>
        <w:tabs>
          <w:tab w:val="left" w:pos="2241"/>
        </w:tabs>
        <w:ind w:left="682" w:firstLine="851"/>
        <w:jc w:val="both"/>
        <w:rPr>
          <w:sz w:val="28"/>
        </w:rPr>
      </w:pPr>
      <w:r>
        <w:rPr>
          <w:sz w:val="28"/>
        </w:rPr>
        <w:t>En deuxième lieu, aux termes du septième alinéa de l’article 24 de la loi du 29 juillet 1881 actuellement en vigueur, est puni d’un an d’emprisonnement et de 45 000 euros d’ame</w:t>
      </w:r>
      <w:r>
        <w:rPr>
          <w:sz w:val="28"/>
        </w:rPr>
        <w:t>nde le fait de provoquer à la discrimination, à la haine ou à la violence à l’égard d’une personne ou d’un groupe de personnes à raison de leur origine ou de leur appartenance ou de leur non-appartenance à une ethnie, une nation, une race ou une religion d</w:t>
      </w:r>
      <w:r>
        <w:rPr>
          <w:sz w:val="28"/>
        </w:rPr>
        <w:t>éterminée. Dès lors, les dispositions introduites par le dernier alinéa du 2° de l’article 173, qui répriment des mêmes peines des propos présentant les mêmes caractéristiques, ne sont pas nécessaires à la répression de telles incitations à la haine ou à l</w:t>
      </w:r>
      <w:r>
        <w:rPr>
          <w:sz w:val="28"/>
        </w:rPr>
        <w:t>a</w:t>
      </w:r>
      <w:r>
        <w:rPr>
          <w:spacing w:val="-10"/>
          <w:sz w:val="28"/>
        </w:rPr>
        <w:t xml:space="preserve"> </w:t>
      </w:r>
      <w:r>
        <w:rPr>
          <w:sz w:val="28"/>
        </w:rPr>
        <w:t>violence.</w:t>
      </w:r>
    </w:p>
    <w:p w:rsidR="00A54C16" w:rsidRDefault="00A54C16">
      <w:pPr>
        <w:pStyle w:val="a3"/>
        <w:spacing w:before="1"/>
        <w:rPr>
          <w:sz w:val="31"/>
        </w:rPr>
      </w:pPr>
    </w:p>
    <w:p w:rsidR="00A54C16" w:rsidRDefault="0020637D">
      <w:pPr>
        <w:pStyle w:val="a4"/>
        <w:numPr>
          <w:ilvl w:val="0"/>
          <w:numId w:val="1"/>
        </w:numPr>
        <w:tabs>
          <w:tab w:val="left" w:pos="2241"/>
        </w:tabs>
        <w:ind w:left="682" w:right="112" w:firstLine="852"/>
        <w:jc w:val="both"/>
        <w:rPr>
          <w:sz w:val="28"/>
        </w:rPr>
      </w:pPr>
      <w:r>
        <w:rPr>
          <w:sz w:val="28"/>
        </w:rPr>
        <w:t>En troisième lieu, et compte tenu de ce qui est rappelé au paragraphe précédent, le seul effet des dispositions du dernier alinéa du 2° de l’article 173 est d’imposer au juge, pour établir les éléments constitutifs de l’infraction, de se prono</w:t>
      </w:r>
      <w:r>
        <w:rPr>
          <w:sz w:val="28"/>
        </w:rPr>
        <w:t>ncer sur l’existence d’un crime dont la négation, la minoration ou la banalisation est alléguée, alors même qu’il n’est pas saisi au fond de ce crime et qu’aucune juridiction ne s’est prononcée sur les faits dénoncés comme criminels. Des actes ou des propo</w:t>
      </w:r>
      <w:r>
        <w:rPr>
          <w:sz w:val="28"/>
        </w:rPr>
        <w:t>s peuvent ainsi donner lieu à des poursuites au motif qu’ils nieraient, minoreraient ou banaliseraient des faits sans pourtant que ceux-ci n’aient encore reçu la qualification de l’un des crimes visés par les dispositions du dernier alinéa du 2° de l’artic</w:t>
      </w:r>
      <w:r>
        <w:rPr>
          <w:sz w:val="28"/>
        </w:rPr>
        <w:t>le 173. Dès lors, ces dispositions font peser une incertitude sur la licéité d’actes ou de propos portant sur des faits susceptibles de faire l’objet de débats historiques qui ne satisfait pas à l’exigence</w:t>
      </w:r>
      <w:r>
        <w:rPr>
          <w:spacing w:val="25"/>
          <w:sz w:val="28"/>
        </w:rPr>
        <w:t xml:space="preserve"> </w:t>
      </w:r>
      <w:r>
        <w:rPr>
          <w:sz w:val="28"/>
        </w:rPr>
        <w:t>de</w:t>
      </w:r>
    </w:p>
    <w:p w:rsidR="00A54C16" w:rsidRDefault="00A54C16">
      <w:pPr>
        <w:jc w:val="both"/>
        <w:rPr>
          <w:sz w:val="28"/>
        </w:rPr>
        <w:sectPr w:rsidR="00A54C16">
          <w:pgSz w:w="11910" w:h="16840"/>
          <w:pgMar w:top="1320" w:right="1300" w:bottom="280" w:left="1300" w:header="712" w:footer="0" w:gutter="0"/>
          <w:cols w:space="720"/>
        </w:sectPr>
      </w:pPr>
    </w:p>
    <w:p w:rsidR="00A54C16" w:rsidRDefault="0020637D">
      <w:pPr>
        <w:pStyle w:val="a3"/>
        <w:tabs>
          <w:tab w:val="left" w:pos="2698"/>
          <w:tab w:val="left" w:pos="3262"/>
          <w:tab w:val="left" w:pos="4486"/>
          <w:tab w:val="left" w:pos="5801"/>
          <w:tab w:val="left" w:pos="6274"/>
          <w:tab w:val="left" w:pos="7586"/>
          <w:tab w:val="left" w:pos="8059"/>
          <w:tab w:val="left" w:pos="8472"/>
        </w:tabs>
        <w:spacing w:before="79" w:line="242" w:lineRule="auto"/>
        <w:ind w:left="682" w:right="114"/>
      </w:pPr>
      <w:r>
        <w:lastRenderedPageBreak/>
        <w:t>proportionnalité</w:t>
      </w:r>
      <w:r>
        <w:tab/>
        <w:t>qui</w:t>
      </w:r>
      <w:r>
        <w:tab/>
        <w:t>s’impose</w:t>
      </w:r>
      <w:r>
        <w:tab/>
        <w:t>s’agissant</w:t>
      </w:r>
      <w:r>
        <w:tab/>
        <w:t>de</w:t>
      </w:r>
      <w:r>
        <w:tab/>
        <w:t>l’exercice</w:t>
      </w:r>
      <w:r>
        <w:tab/>
        <w:t>de</w:t>
      </w:r>
      <w:r>
        <w:tab/>
        <w:t>la</w:t>
      </w:r>
      <w:r>
        <w:tab/>
      </w:r>
      <w:r>
        <w:rPr>
          <w:spacing w:val="-4"/>
        </w:rPr>
        <w:t xml:space="preserve">liberté </w:t>
      </w:r>
      <w:r>
        <w:t>d’expression.</w:t>
      </w:r>
    </w:p>
    <w:p w:rsidR="00A54C16" w:rsidRDefault="00A54C16">
      <w:pPr>
        <w:pStyle w:val="a3"/>
        <w:spacing w:before="10"/>
        <w:rPr>
          <w:sz w:val="30"/>
        </w:rPr>
      </w:pPr>
    </w:p>
    <w:p w:rsidR="00A54C16" w:rsidRDefault="0020637D">
      <w:pPr>
        <w:pStyle w:val="a4"/>
        <w:numPr>
          <w:ilvl w:val="0"/>
          <w:numId w:val="1"/>
        </w:numPr>
        <w:tabs>
          <w:tab w:val="left" w:pos="2240"/>
        </w:tabs>
        <w:ind w:left="682" w:right="114" w:firstLine="851"/>
        <w:jc w:val="both"/>
        <w:rPr>
          <w:sz w:val="28"/>
        </w:rPr>
      </w:pPr>
      <w:r>
        <w:rPr>
          <w:sz w:val="28"/>
        </w:rPr>
        <w:t>Il résulte de ce qui précède que le législateur, en réprimant la négation, la minoration et la banalisation de certains crimes n’ayant fait l’objet d’aucune condamnation judiciaire préalable, a porté u</w:t>
      </w:r>
      <w:r>
        <w:rPr>
          <w:sz w:val="28"/>
        </w:rPr>
        <w:t>ne atteinte à l’exercice de la liberté d’expression qui n’est ni nécessaire ni proportionnée. Le dernier alinéa du 2° de l’article 173 est donc contraire à la</w:t>
      </w:r>
      <w:r>
        <w:rPr>
          <w:spacing w:val="-2"/>
          <w:sz w:val="28"/>
        </w:rPr>
        <w:t xml:space="preserve"> </w:t>
      </w:r>
      <w:r>
        <w:rPr>
          <w:sz w:val="28"/>
        </w:rPr>
        <w:t>Constitution.</w:t>
      </w:r>
    </w:p>
    <w:p w:rsidR="00A54C16" w:rsidRDefault="00A54C16">
      <w:pPr>
        <w:pStyle w:val="a3"/>
        <w:spacing w:before="8"/>
        <w:rPr>
          <w:sz w:val="41"/>
        </w:rPr>
      </w:pPr>
    </w:p>
    <w:p w:rsidR="00A54C16" w:rsidRDefault="0020637D">
      <w:pPr>
        <w:pStyle w:val="a4"/>
        <w:numPr>
          <w:ilvl w:val="0"/>
          <w:numId w:val="2"/>
        </w:numPr>
        <w:tabs>
          <w:tab w:val="left" w:pos="971"/>
        </w:tabs>
        <w:spacing w:before="1"/>
        <w:ind w:left="970" w:right="0"/>
        <w:jc w:val="left"/>
        <w:rPr>
          <w:sz w:val="28"/>
        </w:rPr>
      </w:pPr>
      <w:r>
        <w:rPr>
          <w:sz w:val="28"/>
          <w:u w:val="single"/>
        </w:rPr>
        <w:t>Sur les autres dispositions</w:t>
      </w:r>
      <w:r>
        <w:rPr>
          <w:spacing w:val="-3"/>
          <w:sz w:val="28"/>
        </w:rPr>
        <w:t xml:space="preserve"> </w:t>
      </w:r>
      <w:r>
        <w:rPr>
          <w:sz w:val="28"/>
        </w:rPr>
        <w:t>:</w:t>
      </w:r>
    </w:p>
    <w:p w:rsidR="00A54C16" w:rsidRDefault="00A54C16">
      <w:pPr>
        <w:pStyle w:val="a3"/>
        <w:spacing w:before="3"/>
        <w:rPr>
          <w:sz w:val="31"/>
        </w:rPr>
      </w:pPr>
    </w:p>
    <w:p w:rsidR="00A54C16" w:rsidRDefault="0020637D">
      <w:pPr>
        <w:pStyle w:val="a4"/>
        <w:numPr>
          <w:ilvl w:val="0"/>
          <w:numId w:val="1"/>
        </w:numPr>
        <w:tabs>
          <w:tab w:val="left" w:pos="2241"/>
        </w:tabs>
        <w:ind w:left="682" w:right="114" w:firstLine="851"/>
        <w:jc w:val="both"/>
        <w:rPr>
          <w:sz w:val="28"/>
        </w:rPr>
      </w:pPr>
      <w:r>
        <w:rPr>
          <w:sz w:val="28"/>
        </w:rPr>
        <w:t>Le Conseil constitutionnel n’a soulevé d’office auc</w:t>
      </w:r>
      <w:r>
        <w:rPr>
          <w:sz w:val="28"/>
        </w:rPr>
        <w:t>une autre question de conformité à la Constitution et ne s’est donc pas prononcé sur la constitutionnalité des autres dispositions que celles examinées dans la présente</w:t>
      </w:r>
      <w:r>
        <w:rPr>
          <w:spacing w:val="-3"/>
          <w:sz w:val="28"/>
        </w:rPr>
        <w:t xml:space="preserve"> </w:t>
      </w:r>
      <w:r>
        <w:rPr>
          <w:sz w:val="28"/>
        </w:rPr>
        <w:t>décision.</w:t>
      </w:r>
    </w:p>
    <w:p w:rsidR="00A54C16" w:rsidRDefault="00A54C16">
      <w:pPr>
        <w:pStyle w:val="a3"/>
        <w:rPr>
          <w:sz w:val="30"/>
        </w:rPr>
      </w:pPr>
    </w:p>
    <w:p w:rsidR="00A54C16" w:rsidRDefault="00A54C16">
      <w:pPr>
        <w:pStyle w:val="a3"/>
        <w:rPr>
          <w:sz w:val="30"/>
        </w:rPr>
      </w:pPr>
    </w:p>
    <w:p w:rsidR="00A54C16" w:rsidRDefault="00A54C16">
      <w:pPr>
        <w:pStyle w:val="a3"/>
        <w:rPr>
          <w:sz w:val="30"/>
        </w:rPr>
      </w:pPr>
    </w:p>
    <w:p w:rsidR="00A54C16" w:rsidRDefault="0020637D">
      <w:pPr>
        <w:pStyle w:val="a3"/>
        <w:spacing w:before="209"/>
        <w:ind w:left="1880" w:right="1883"/>
        <w:jc w:val="center"/>
      </w:pPr>
      <w:r>
        <w:t>LE CONSEIL CONSTITUTIONNEL DÉCIDE :</w:t>
      </w:r>
    </w:p>
    <w:p w:rsidR="00A54C16" w:rsidRDefault="00A54C16">
      <w:pPr>
        <w:pStyle w:val="a3"/>
        <w:rPr>
          <w:sz w:val="30"/>
        </w:rPr>
      </w:pPr>
    </w:p>
    <w:p w:rsidR="00A54C16" w:rsidRDefault="00A54C16">
      <w:pPr>
        <w:pStyle w:val="a3"/>
        <w:spacing w:before="3"/>
        <w:rPr>
          <w:sz w:val="29"/>
        </w:rPr>
      </w:pPr>
    </w:p>
    <w:p w:rsidR="00A54C16" w:rsidRDefault="00666BBA">
      <w:pPr>
        <w:pStyle w:val="a3"/>
        <w:ind w:left="682" w:right="239"/>
      </w:pPr>
      <w:r>
        <w:rPr>
          <w:noProof/>
          <w:lang w:val="en-US"/>
        </w:rPr>
        <mc:AlternateContent>
          <mc:Choice Requires="wps">
            <w:drawing>
              <wp:anchor distT="0" distB="0" distL="114300" distR="114300" simplePos="0" relativeHeight="251657728" behindDoc="1" locked="0" layoutInCell="1" allowOverlap="1">
                <wp:simplePos x="0" y="0"/>
                <wp:positionH relativeFrom="page">
                  <wp:posOffset>1258570</wp:posOffset>
                </wp:positionH>
                <wp:positionV relativeFrom="paragraph">
                  <wp:posOffset>186055</wp:posOffset>
                </wp:positionV>
                <wp:extent cx="77851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64AF" id="Rectangle 2" o:spid="_x0000_s1026" style="position:absolute;margin-left:99.1pt;margin-top:14.65pt;width:61.3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zdAIAAPg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" fillcolor="black" stroked="f">
                <w10:wrap anchorx="page"/>
              </v:rect>
            </w:pict>
          </mc:Fallback>
        </mc:AlternateContent>
      </w:r>
      <w:r w:rsidR="0020637D">
        <w:t>Article 1</w:t>
      </w:r>
      <w:r w:rsidR="0020637D">
        <w:rPr>
          <w:vertAlign w:val="superscript"/>
        </w:rPr>
        <w:t>er</w:t>
      </w:r>
      <w:r w:rsidR="0020637D">
        <w:t>.– Sont contraires à la Constitution les dispositions suivantes de la loi relative à l’égalité et à la citoyenneté</w:t>
      </w:r>
      <w:r w:rsidR="0020637D">
        <w:rPr>
          <w:spacing w:val="-12"/>
        </w:rPr>
        <w:t xml:space="preserve"> </w:t>
      </w:r>
      <w:r w:rsidR="0020637D">
        <w:t>:</w:t>
      </w:r>
    </w:p>
    <w:p w:rsidR="00A54C16" w:rsidRDefault="0020637D">
      <w:pPr>
        <w:pStyle w:val="a4"/>
        <w:numPr>
          <w:ilvl w:val="0"/>
          <w:numId w:val="2"/>
        </w:numPr>
        <w:tabs>
          <w:tab w:val="left" w:pos="894"/>
        </w:tabs>
        <w:spacing w:before="239"/>
        <w:ind w:left="893" w:right="0" w:hanging="212"/>
        <w:jc w:val="left"/>
        <w:rPr>
          <w:sz w:val="28"/>
        </w:rPr>
      </w:pPr>
      <w:r>
        <w:rPr>
          <w:sz w:val="28"/>
        </w:rPr>
        <w:t>l’article 39</w:t>
      </w:r>
      <w:r>
        <w:rPr>
          <w:spacing w:val="-5"/>
          <w:sz w:val="28"/>
        </w:rPr>
        <w:t xml:space="preserve"> </w:t>
      </w:r>
      <w:r>
        <w:rPr>
          <w:sz w:val="28"/>
        </w:rPr>
        <w:t>;</w:t>
      </w:r>
    </w:p>
    <w:p w:rsidR="00A54C16" w:rsidRDefault="0020637D">
      <w:pPr>
        <w:pStyle w:val="a4"/>
        <w:numPr>
          <w:ilvl w:val="0"/>
          <w:numId w:val="2"/>
        </w:numPr>
        <w:tabs>
          <w:tab w:val="left" w:pos="894"/>
        </w:tabs>
        <w:spacing w:before="242"/>
        <w:ind w:left="893" w:right="0" w:hanging="212"/>
        <w:jc w:val="left"/>
        <w:rPr>
          <w:sz w:val="28"/>
        </w:rPr>
      </w:pPr>
      <w:r>
        <w:rPr>
          <w:sz w:val="28"/>
        </w:rPr>
        <w:t>l’article 68</w:t>
      </w:r>
      <w:r>
        <w:rPr>
          <w:spacing w:val="-5"/>
          <w:sz w:val="28"/>
        </w:rPr>
        <w:t xml:space="preserve"> </w:t>
      </w:r>
      <w:r>
        <w:rPr>
          <w:sz w:val="28"/>
        </w:rPr>
        <w:t>;</w:t>
      </w:r>
    </w:p>
    <w:p w:rsidR="00A54C16" w:rsidRDefault="0020637D">
      <w:pPr>
        <w:pStyle w:val="a4"/>
        <w:numPr>
          <w:ilvl w:val="0"/>
          <w:numId w:val="2"/>
        </w:numPr>
        <w:tabs>
          <w:tab w:val="left" w:pos="894"/>
        </w:tabs>
        <w:spacing w:before="240"/>
        <w:ind w:left="893" w:right="0" w:hanging="212"/>
        <w:jc w:val="left"/>
        <w:rPr>
          <w:sz w:val="28"/>
        </w:rPr>
      </w:pPr>
      <w:r>
        <w:rPr>
          <w:sz w:val="28"/>
        </w:rPr>
        <w:t>l’article 100</w:t>
      </w:r>
      <w:r>
        <w:rPr>
          <w:spacing w:val="-2"/>
          <w:sz w:val="28"/>
        </w:rPr>
        <w:t xml:space="preserve"> </w:t>
      </w:r>
      <w:r>
        <w:rPr>
          <w:sz w:val="28"/>
        </w:rPr>
        <w:t>;</w:t>
      </w:r>
    </w:p>
    <w:p w:rsidR="00A54C16" w:rsidRDefault="0020637D">
      <w:pPr>
        <w:pStyle w:val="a4"/>
        <w:numPr>
          <w:ilvl w:val="0"/>
          <w:numId w:val="2"/>
        </w:numPr>
        <w:tabs>
          <w:tab w:val="left" w:pos="894"/>
        </w:tabs>
        <w:spacing w:before="239"/>
        <w:ind w:left="893" w:right="0" w:hanging="212"/>
        <w:jc w:val="left"/>
        <w:rPr>
          <w:sz w:val="28"/>
        </w:rPr>
      </w:pPr>
      <w:r>
        <w:rPr>
          <w:sz w:val="28"/>
        </w:rPr>
        <w:t>le dernier alinéa du 2° de l’article 173</w:t>
      </w:r>
      <w:r>
        <w:rPr>
          <w:spacing w:val="-12"/>
          <w:sz w:val="28"/>
        </w:rPr>
        <w:t xml:space="preserve"> </w:t>
      </w:r>
      <w:r>
        <w:rPr>
          <w:sz w:val="28"/>
        </w:rPr>
        <w:t>;</w:t>
      </w:r>
    </w:p>
    <w:p w:rsidR="00A54C16" w:rsidRDefault="0020637D">
      <w:pPr>
        <w:pStyle w:val="a4"/>
        <w:numPr>
          <w:ilvl w:val="0"/>
          <w:numId w:val="2"/>
        </w:numPr>
        <w:tabs>
          <w:tab w:val="left" w:pos="894"/>
        </w:tabs>
        <w:spacing w:before="240"/>
        <w:ind w:left="893" w:right="0" w:hanging="212"/>
        <w:jc w:val="left"/>
        <w:rPr>
          <w:sz w:val="28"/>
        </w:rPr>
      </w:pPr>
      <w:r>
        <w:rPr>
          <w:sz w:val="28"/>
        </w:rPr>
        <w:t>l’article 179</w:t>
      </w:r>
      <w:r>
        <w:rPr>
          <w:spacing w:val="-7"/>
          <w:sz w:val="28"/>
        </w:rPr>
        <w:t xml:space="preserve"> </w:t>
      </w:r>
      <w:r>
        <w:rPr>
          <w:sz w:val="28"/>
        </w:rPr>
        <w:t>;</w:t>
      </w:r>
    </w:p>
    <w:p w:rsidR="00A54C16" w:rsidRDefault="0020637D">
      <w:pPr>
        <w:pStyle w:val="a4"/>
        <w:numPr>
          <w:ilvl w:val="0"/>
          <w:numId w:val="2"/>
        </w:numPr>
        <w:tabs>
          <w:tab w:val="left" w:pos="894"/>
        </w:tabs>
        <w:spacing w:before="240"/>
        <w:ind w:left="893" w:right="0" w:hanging="212"/>
        <w:jc w:val="left"/>
        <w:rPr>
          <w:sz w:val="28"/>
        </w:rPr>
      </w:pPr>
      <w:r>
        <w:rPr>
          <w:sz w:val="28"/>
        </w:rPr>
        <w:t>l’article 217</w:t>
      </w:r>
      <w:r>
        <w:rPr>
          <w:spacing w:val="-7"/>
          <w:sz w:val="28"/>
        </w:rPr>
        <w:t xml:space="preserve"> </w:t>
      </w:r>
      <w:r>
        <w:rPr>
          <w:sz w:val="28"/>
        </w:rPr>
        <w:t>;</w:t>
      </w:r>
    </w:p>
    <w:p w:rsidR="00A54C16" w:rsidRDefault="0020637D">
      <w:pPr>
        <w:pStyle w:val="a3"/>
        <w:spacing w:before="239" w:line="322" w:lineRule="exact"/>
        <w:ind w:left="682"/>
      </w:pPr>
      <w:r>
        <w:t>– les</w:t>
      </w:r>
      <w:r>
        <w:rPr>
          <w:spacing w:val="25"/>
        </w:rPr>
        <w:t xml:space="preserve"> </w:t>
      </w:r>
      <w:r>
        <w:t>articles</w:t>
      </w:r>
      <w:r>
        <w:rPr>
          <w:spacing w:val="23"/>
        </w:rPr>
        <w:t xml:space="preserve"> </w:t>
      </w:r>
      <w:r>
        <w:t>11,</w:t>
      </w:r>
      <w:r>
        <w:rPr>
          <w:spacing w:val="21"/>
        </w:rPr>
        <w:t xml:space="preserve"> </w:t>
      </w:r>
      <w:r>
        <w:t>13,</w:t>
      </w:r>
      <w:r>
        <w:rPr>
          <w:spacing w:val="21"/>
        </w:rPr>
        <w:t xml:space="preserve"> </w:t>
      </w:r>
      <w:r>
        <w:t>14,</w:t>
      </w:r>
      <w:r>
        <w:rPr>
          <w:spacing w:val="21"/>
        </w:rPr>
        <w:t xml:space="preserve"> </w:t>
      </w:r>
      <w:r>
        <w:t>15,</w:t>
      </w:r>
      <w:r>
        <w:rPr>
          <w:spacing w:val="21"/>
        </w:rPr>
        <w:t xml:space="preserve"> </w:t>
      </w:r>
      <w:r>
        <w:t>16,</w:t>
      </w:r>
      <w:r>
        <w:rPr>
          <w:spacing w:val="21"/>
        </w:rPr>
        <w:t xml:space="preserve"> </w:t>
      </w:r>
      <w:r>
        <w:t>31,</w:t>
      </w:r>
      <w:r>
        <w:rPr>
          <w:spacing w:val="21"/>
        </w:rPr>
        <w:t xml:space="preserve"> </w:t>
      </w:r>
      <w:r>
        <w:t>42,</w:t>
      </w:r>
      <w:r>
        <w:rPr>
          <w:spacing w:val="21"/>
        </w:rPr>
        <w:t xml:space="preserve"> </w:t>
      </w:r>
      <w:r>
        <w:t>44,</w:t>
      </w:r>
      <w:r>
        <w:rPr>
          <w:spacing w:val="21"/>
        </w:rPr>
        <w:t xml:space="preserve"> </w:t>
      </w:r>
      <w:r>
        <w:t>45,</w:t>
      </w:r>
      <w:r>
        <w:rPr>
          <w:spacing w:val="20"/>
        </w:rPr>
        <w:t xml:space="preserve"> </w:t>
      </w:r>
      <w:r>
        <w:t>46,</w:t>
      </w:r>
      <w:r>
        <w:rPr>
          <w:spacing w:val="21"/>
        </w:rPr>
        <w:t xml:space="preserve"> </w:t>
      </w:r>
      <w:r>
        <w:t>47,</w:t>
      </w:r>
      <w:r>
        <w:rPr>
          <w:spacing w:val="21"/>
        </w:rPr>
        <w:t xml:space="preserve"> </w:t>
      </w:r>
      <w:r>
        <w:t>48,</w:t>
      </w:r>
      <w:r>
        <w:rPr>
          <w:spacing w:val="21"/>
        </w:rPr>
        <w:t xml:space="preserve"> </w:t>
      </w:r>
      <w:r>
        <w:t>49,</w:t>
      </w:r>
      <w:r>
        <w:rPr>
          <w:spacing w:val="21"/>
        </w:rPr>
        <w:t xml:space="preserve"> </w:t>
      </w:r>
      <w:r>
        <w:t>50,</w:t>
      </w:r>
      <w:r>
        <w:rPr>
          <w:spacing w:val="21"/>
        </w:rPr>
        <w:t xml:space="preserve"> </w:t>
      </w:r>
      <w:r>
        <w:t>51,</w:t>
      </w:r>
      <w:r>
        <w:rPr>
          <w:spacing w:val="21"/>
        </w:rPr>
        <w:t xml:space="preserve"> </w:t>
      </w:r>
      <w:r>
        <w:t>52,</w:t>
      </w:r>
    </w:p>
    <w:p w:rsidR="00A54C16" w:rsidRDefault="0020637D">
      <w:pPr>
        <w:pStyle w:val="a3"/>
        <w:spacing w:line="322" w:lineRule="exact"/>
        <w:ind w:left="682"/>
      </w:pPr>
      <w:r>
        <w:t>64, 69, 80, 91,  110, 112,  le  paragraphe XIV  de  l’article  117,  les</w:t>
      </w:r>
      <w:r>
        <w:rPr>
          <w:spacing w:val="14"/>
        </w:rPr>
        <w:t xml:space="preserve"> </w:t>
      </w:r>
      <w:r>
        <w:t>articles</w:t>
      </w:r>
    </w:p>
    <w:p w:rsidR="00A54C16" w:rsidRDefault="0020637D">
      <w:pPr>
        <w:pStyle w:val="a3"/>
        <w:spacing w:before="2"/>
        <w:ind w:left="682"/>
      </w:pPr>
      <w:r>
        <w:t>119, 126, 145, 163, 169, 191, 192, 203, 204, 209, 210, 220 et 222 ;</w:t>
      </w:r>
    </w:p>
    <w:p w:rsidR="00A54C16" w:rsidRDefault="00A54C16">
      <w:pPr>
        <w:sectPr w:rsidR="00A54C16">
          <w:pgSz w:w="11910" w:h="16840"/>
          <w:pgMar w:top="1320" w:right="1300" w:bottom="280" w:left="1300" w:header="712" w:footer="0" w:gutter="0"/>
          <w:cols w:space="720"/>
        </w:sectPr>
      </w:pPr>
    </w:p>
    <w:p w:rsidR="00A54C16" w:rsidRDefault="0020637D">
      <w:pPr>
        <w:pStyle w:val="a4"/>
        <w:numPr>
          <w:ilvl w:val="0"/>
          <w:numId w:val="2"/>
        </w:numPr>
        <w:tabs>
          <w:tab w:val="left" w:pos="894"/>
        </w:tabs>
        <w:spacing w:before="79"/>
        <w:ind w:right="114" w:hanging="1"/>
        <w:rPr>
          <w:sz w:val="28"/>
        </w:rPr>
      </w:pPr>
      <w:r>
        <w:rPr>
          <w:sz w:val="28"/>
        </w:rPr>
        <w:lastRenderedPageBreak/>
        <w:t>le paragraphe I de l’articl</w:t>
      </w:r>
      <w:r>
        <w:rPr>
          <w:sz w:val="28"/>
        </w:rPr>
        <w:t>e 67, le paragraphe III de l’article 104, le paragraphe II de l’article 121, le 1° du paragraphe I de l’article 122, l’article 128 et les paragraphes V à VII de l’article</w:t>
      </w:r>
      <w:r>
        <w:rPr>
          <w:spacing w:val="-12"/>
          <w:sz w:val="28"/>
        </w:rPr>
        <w:t xml:space="preserve"> </w:t>
      </w:r>
      <w:r>
        <w:rPr>
          <w:sz w:val="28"/>
        </w:rPr>
        <w:t>152.</w:t>
      </w:r>
    </w:p>
    <w:p w:rsidR="00A54C16" w:rsidRDefault="0020637D">
      <w:pPr>
        <w:pStyle w:val="a3"/>
        <w:spacing w:before="241"/>
        <w:ind w:left="682" w:right="114" w:hanging="1"/>
      </w:pPr>
      <w:r>
        <w:rPr>
          <w:u w:val="single"/>
        </w:rPr>
        <w:t>Article 2.</w:t>
      </w:r>
      <w:r>
        <w:t>– Sont conformes à la Constitution les dispositions suivantes de la même loi :</w:t>
      </w:r>
    </w:p>
    <w:p w:rsidR="00A54C16" w:rsidRDefault="0020637D">
      <w:pPr>
        <w:pStyle w:val="a4"/>
        <w:numPr>
          <w:ilvl w:val="0"/>
          <w:numId w:val="2"/>
        </w:numPr>
        <w:tabs>
          <w:tab w:val="left" w:pos="894"/>
        </w:tabs>
        <w:spacing w:before="239"/>
        <w:ind w:right="114" w:firstLine="0"/>
        <w:jc w:val="left"/>
        <w:rPr>
          <w:sz w:val="28"/>
        </w:rPr>
      </w:pPr>
      <w:r>
        <w:rPr>
          <w:sz w:val="28"/>
        </w:rPr>
        <w:t>les neuvième à quinzième alinéas du f du 2° du  paragraphe  I  de  l’article 70</w:t>
      </w:r>
      <w:r>
        <w:rPr>
          <w:spacing w:val="-5"/>
          <w:sz w:val="28"/>
        </w:rPr>
        <w:t xml:space="preserve"> </w:t>
      </w:r>
      <w:r>
        <w:rPr>
          <w:sz w:val="28"/>
        </w:rPr>
        <w:t>;</w:t>
      </w:r>
    </w:p>
    <w:p w:rsidR="00A54C16" w:rsidRDefault="0020637D">
      <w:pPr>
        <w:pStyle w:val="a4"/>
        <w:numPr>
          <w:ilvl w:val="0"/>
          <w:numId w:val="2"/>
        </w:numPr>
        <w:tabs>
          <w:tab w:val="left" w:pos="894"/>
        </w:tabs>
        <w:spacing w:before="242"/>
        <w:ind w:left="893" w:right="0" w:hanging="212"/>
        <w:jc w:val="left"/>
        <w:rPr>
          <w:sz w:val="28"/>
        </w:rPr>
      </w:pPr>
      <w:r>
        <w:rPr>
          <w:sz w:val="28"/>
        </w:rPr>
        <w:t>le c du 1° du paragraphe I de l’article 78</w:t>
      </w:r>
      <w:r>
        <w:rPr>
          <w:spacing w:val="-18"/>
          <w:sz w:val="28"/>
        </w:rPr>
        <w:t xml:space="preserve"> </w:t>
      </w:r>
      <w:r>
        <w:rPr>
          <w:sz w:val="28"/>
        </w:rPr>
        <w:t>;</w:t>
      </w:r>
    </w:p>
    <w:p w:rsidR="00A54C16" w:rsidRDefault="0020637D">
      <w:pPr>
        <w:pStyle w:val="a4"/>
        <w:numPr>
          <w:ilvl w:val="0"/>
          <w:numId w:val="2"/>
        </w:numPr>
        <w:tabs>
          <w:tab w:val="left" w:pos="894"/>
        </w:tabs>
        <w:spacing w:before="239"/>
        <w:ind w:left="893" w:right="0" w:hanging="212"/>
        <w:jc w:val="left"/>
        <w:rPr>
          <w:sz w:val="28"/>
        </w:rPr>
      </w:pPr>
      <w:r>
        <w:rPr>
          <w:sz w:val="28"/>
        </w:rPr>
        <w:t>les b à d du 4° du paragraphe I de l’article 97</w:t>
      </w:r>
      <w:r>
        <w:rPr>
          <w:spacing w:val="-16"/>
          <w:sz w:val="28"/>
        </w:rPr>
        <w:t xml:space="preserve"> </w:t>
      </w:r>
      <w:r>
        <w:rPr>
          <w:sz w:val="28"/>
        </w:rPr>
        <w:t>;</w:t>
      </w:r>
    </w:p>
    <w:p w:rsidR="00A54C16" w:rsidRDefault="0020637D">
      <w:pPr>
        <w:pStyle w:val="a4"/>
        <w:numPr>
          <w:ilvl w:val="0"/>
          <w:numId w:val="2"/>
        </w:numPr>
        <w:tabs>
          <w:tab w:val="left" w:pos="894"/>
        </w:tabs>
        <w:spacing w:before="240"/>
        <w:ind w:right="118" w:firstLine="0"/>
        <w:jc w:val="left"/>
        <w:rPr>
          <w:sz w:val="28"/>
        </w:rPr>
      </w:pPr>
      <w:r>
        <w:rPr>
          <w:sz w:val="28"/>
        </w:rPr>
        <w:t>le cinquième alinéa du a et les quatrième et cinquième alinéas du b du 1° du paragraphe I de l’article 98</w:t>
      </w:r>
      <w:r>
        <w:rPr>
          <w:spacing w:val="-7"/>
          <w:sz w:val="28"/>
        </w:rPr>
        <w:t xml:space="preserve"> </w:t>
      </w:r>
      <w:r>
        <w:rPr>
          <w:sz w:val="28"/>
        </w:rPr>
        <w:t>;</w:t>
      </w:r>
    </w:p>
    <w:p w:rsidR="00A54C16" w:rsidRDefault="0020637D">
      <w:pPr>
        <w:pStyle w:val="a4"/>
        <w:numPr>
          <w:ilvl w:val="0"/>
          <w:numId w:val="2"/>
        </w:numPr>
        <w:tabs>
          <w:tab w:val="left" w:pos="894"/>
        </w:tabs>
        <w:spacing w:before="239"/>
        <w:ind w:left="893" w:right="0" w:hanging="212"/>
        <w:jc w:val="left"/>
        <w:rPr>
          <w:sz w:val="28"/>
        </w:rPr>
      </w:pPr>
      <w:r>
        <w:rPr>
          <w:sz w:val="28"/>
        </w:rPr>
        <w:t>le b du 1° et le 2° du paragraphe I de l’article 99</w:t>
      </w:r>
      <w:r>
        <w:rPr>
          <w:spacing w:val="-18"/>
          <w:sz w:val="28"/>
        </w:rPr>
        <w:t xml:space="preserve"> </w:t>
      </w:r>
      <w:r>
        <w:rPr>
          <w:sz w:val="28"/>
        </w:rPr>
        <w:t>;</w:t>
      </w:r>
    </w:p>
    <w:p w:rsidR="00A54C16" w:rsidRDefault="0020637D">
      <w:pPr>
        <w:pStyle w:val="a4"/>
        <w:numPr>
          <w:ilvl w:val="0"/>
          <w:numId w:val="2"/>
        </w:numPr>
        <w:tabs>
          <w:tab w:val="left" w:pos="894"/>
        </w:tabs>
        <w:spacing w:before="240"/>
        <w:ind w:left="893" w:right="0" w:hanging="212"/>
        <w:jc w:val="left"/>
        <w:rPr>
          <w:sz w:val="28"/>
        </w:rPr>
      </w:pPr>
      <w:r>
        <w:rPr>
          <w:sz w:val="28"/>
        </w:rPr>
        <w:t>le 2° de l’article 129</w:t>
      </w:r>
      <w:r>
        <w:rPr>
          <w:spacing w:val="-7"/>
          <w:sz w:val="28"/>
        </w:rPr>
        <w:t xml:space="preserve"> </w:t>
      </w:r>
      <w:r>
        <w:rPr>
          <w:sz w:val="28"/>
        </w:rPr>
        <w:t>;</w:t>
      </w:r>
    </w:p>
    <w:p w:rsidR="00A54C16" w:rsidRDefault="0020637D">
      <w:pPr>
        <w:pStyle w:val="a4"/>
        <w:numPr>
          <w:ilvl w:val="0"/>
          <w:numId w:val="2"/>
        </w:numPr>
        <w:tabs>
          <w:tab w:val="left" w:pos="895"/>
        </w:tabs>
        <w:spacing w:before="240"/>
        <w:ind w:left="894" w:right="0" w:hanging="213"/>
        <w:jc w:val="left"/>
        <w:rPr>
          <w:sz w:val="28"/>
        </w:rPr>
      </w:pPr>
      <w:r>
        <w:rPr>
          <w:sz w:val="28"/>
        </w:rPr>
        <w:t>les troisième et quatrième alinéas du 3° de l’article 149</w:t>
      </w:r>
      <w:r>
        <w:rPr>
          <w:spacing w:val="-13"/>
          <w:sz w:val="28"/>
        </w:rPr>
        <w:t xml:space="preserve"> </w:t>
      </w:r>
      <w:r>
        <w:rPr>
          <w:sz w:val="28"/>
        </w:rPr>
        <w:t>;</w:t>
      </w:r>
    </w:p>
    <w:p w:rsidR="00A54C16" w:rsidRDefault="0020637D">
      <w:pPr>
        <w:pStyle w:val="a4"/>
        <w:numPr>
          <w:ilvl w:val="0"/>
          <w:numId w:val="2"/>
        </w:numPr>
        <w:tabs>
          <w:tab w:val="left" w:pos="974"/>
        </w:tabs>
        <w:spacing w:before="242"/>
        <w:ind w:right="114" w:firstLine="0"/>
        <w:jc w:val="left"/>
        <w:rPr>
          <w:sz w:val="28"/>
        </w:rPr>
      </w:pPr>
      <w:r>
        <w:rPr>
          <w:sz w:val="28"/>
        </w:rPr>
        <w:t>le 7° du paragraphe I et le a du 1°, le a du 2° et le c du  3°  du  paragraphe II de l’article 170</w:t>
      </w:r>
      <w:r>
        <w:rPr>
          <w:spacing w:val="-6"/>
          <w:sz w:val="28"/>
        </w:rPr>
        <w:t xml:space="preserve"> </w:t>
      </w:r>
      <w:r>
        <w:rPr>
          <w:sz w:val="28"/>
        </w:rPr>
        <w:t>;</w:t>
      </w:r>
    </w:p>
    <w:p w:rsidR="00A54C16" w:rsidRDefault="0020637D">
      <w:pPr>
        <w:pStyle w:val="a4"/>
        <w:numPr>
          <w:ilvl w:val="0"/>
          <w:numId w:val="2"/>
        </w:numPr>
        <w:tabs>
          <w:tab w:val="left" w:pos="895"/>
        </w:tabs>
        <w:spacing w:before="239"/>
        <w:ind w:left="894" w:right="0" w:hanging="212"/>
        <w:jc w:val="left"/>
        <w:rPr>
          <w:sz w:val="28"/>
        </w:rPr>
      </w:pPr>
      <w:r>
        <w:rPr>
          <w:sz w:val="28"/>
        </w:rPr>
        <w:t>les 1° et 2° du paragraphe I de l’article 171</w:t>
      </w:r>
      <w:r>
        <w:rPr>
          <w:spacing w:val="-17"/>
          <w:sz w:val="28"/>
        </w:rPr>
        <w:t xml:space="preserve"> </w:t>
      </w:r>
      <w:r>
        <w:rPr>
          <w:sz w:val="28"/>
        </w:rPr>
        <w:t>;</w:t>
      </w:r>
    </w:p>
    <w:p w:rsidR="00A54C16" w:rsidRDefault="0020637D">
      <w:pPr>
        <w:pStyle w:val="a4"/>
        <w:numPr>
          <w:ilvl w:val="0"/>
          <w:numId w:val="2"/>
        </w:numPr>
        <w:tabs>
          <w:tab w:val="left" w:pos="895"/>
        </w:tabs>
        <w:spacing w:before="239"/>
        <w:ind w:left="894" w:right="0" w:hanging="212"/>
        <w:jc w:val="left"/>
        <w:rPr>
          <w:sz w:val="28"/>
        </w:rPr>
      </w:pPr>
      <w:r>
        <w:rPr>
          <w:sz w:val="28"/>
        </w:rPr>
        <w:t>les articles 174 et 176</w:t>
      </w:r>
      <w:r>
        <w:rPr>
          <w:spacing w:val="-5"/>
          <w:sz w:val="28"/>
        </w:rPr>
        <w:t xml:space="preserve"> </w:t>
      </w:r>
      <w:r>
        <w:rPr>
          <w:sz w:val="28"/>
        </w:rPr>
        <w:t>;</w:t>
      </w:r>
    </w:p>
    <w:p w:rsidR="00A54C16" w:rsidRDefault="0020637D">
      <w:pPr>
        <w:pStyle w:val="a4"/>
        <w:numPr>
          <w:ilvl w:val="0"/>
          <w:numId w:val="2"/>
        </w:numPr>
        <w:tabs>
          <w:tab w:val="left" w:pos="895"/>
        </w:tabs>
        <w:spacing w:before="240"/>
        <w:ind w:left="894" w:right="0" w:hanging="212"/>
        <w:jc w:val="left"/>
        <w:rPr>
          <w:sz w:val="28"/>
        </w:rPr>
      </w:pPr>
      <w:r>
        <w:rPr>
          <w:sz w:val="28"/>
        </w:rPr>
        <w:t>l’article 177</w:t>
      </w:r>
      <w:r>
        <w:rPr>
          <w:spacing w:val="-7"/>
          <w:sz w:val="28"/>
        </w:rPr>
        <w:t xml:space="preserve"> </w:t>
      </w:r>
      <w:r>
        <w:rPr>
          <w:sz w:val="28"/>
        </w:rPr>
        <w:t>;</w:t>
      </w:r>
    </w:p>
    <w:p w:rsidR="00A54C16" w:rsidRDefault="0020637D">
      <w:pPr>
        <w:pStyle w:val="a4"/>
        <w:numPr>
          <w:ilvl w:val="0"/>
          <w:numId w:val="2"/>
        </w:numPr>
        <w:tabs>
          <w:tab w:val="left" w:pos="895"/>
        </w:tabs>
        <w:spacing w:before="240"/>
        <w:ind w:left="894" w:right="0" w:hanging="212"/>
        <w:jc w:val="left"/>
        <w:rPr>
          <w:sz w:val="28"/>
        </w:rPr>
      </w:pPr>
      <w:r>
        <w:rPr>
          <w:sz w:val="28"/>
        </w:rPr>
        <w:t>l’article 186</w:t>
      </w:r>
      <w:r>
        <w:rPr>
          <w:spacing w:val="-7"/>
          <w:sz w:val="28"/>
        </w:rPr>
        <w:t xml:space="preserve"> </w:t>
      </w:r>
      <w:r>
        <w:rPr>
          <w:sz w:val="28"/>
        </w:rPr>
        <w:t>;</w:t>
      </w:r>
    </w:p>
    <w:p w:rsidR="00A54C16" w:rsidRDefault="0020637D">
      <w:pPr>
        <w:pStyle w:val="a4"/>
        <w:numPr>
          <w:ilvl w:val="0"/>
          <w:numId w:val="2"/>
        </w:numPr>
        <w:tabs>
          <w:tab w:val="left" w:pos="895"/>
        </w:tabs>
        <w:spacing w:before="242"/>
        <w:ind w:left="894" w:right="0" w:hanging="212"/>
        <w:jc w:val="left"/>
        <w:rPr>
          <w:sz w:val="28"/>
        </w:rPr>
      </w:pPr>
      <w:r>
        <w:rPr>
          <w:sz w:val="28"/>
        </w:rPr>
        <w:t>l’article</w:t>
      </w:r>
      <w:r>
        <w:rPr>
          <w:spacing w:val="-2"/>
          <w:sz w:val="28"/>
        </w:rPr>
        <w:t xml:space="preserve"> </w:t>
      </w:r>
      <w:r>
        <w:rPr>
          <w:sz w:val="28"/>
        </w:rPr>
        <w:t>207.</w:t>
      </w:r>
    </w:p>
    <w:p w:rsidR="00A54C16" w:rsidRDefault="0020637D">
      <w:pPr>
        <w:pStyle w:val="a3"/>
        <w:spacing w:before="239"/>
        <w:ind w:left="682" w:hanging="1"/>
      </w:pPr>
      <w:r>
        <w:rPr>
          <w:u w:val="single"/>
        </w:rPr>
        <w:t>Article 3.</w:t>
      </w:r>
      <w:r>
        <w:t>– Cette décision sera pu</w:t>
      </w:r>
      <w:r>
        <w:t xml:space="preserve">bliée au </w:t>
      </w:r>
      <w:r>
        <w:rPr>
          <w:i/>
        </w:rPr>
        <w:t xml:space="preserve">Journal officiel </w:t>
      </w:r>
      <w:r>
        <w:t>de la République française.</w:t>
      </w:r>
    </w:p>
    <w:p w:rsidR="00A54C16" w:rsidRDefault="00A54C16">
      <w:pPr>
        <w:pStyle w:val="a3"/>
        <w:spacing w:before="10"/>
        <w:rPr>
          <w:sz w:val="26"/>
        </w:rPr>
      </w:pPr>
    </w:p>
    <w:p w:rsidR="00A54C16" w:rsidRDefault="0020637D">
      <w:pPr>
        <w:pStyle w:val="a3"/>
        <w:ind w:left="656" w:right="113" w:firstLine="1079"/>
        <w:jc w:val="both"/>
      </w:pPr>
      <w:r>
        <w:t>Jugé  par   le   Conseil   constitutionnel   dans   sa   séance   du   26 janvier 2017  où  siégeaient :  M.  Laurent   FABIUS,   Président,   Mmes Claire BAZY MALAURIE, Nicole BELLOUBET, MM. Jean- Jac</w:t>
      </w:r>
      <w:r>
        <w:t>ques HYEST, Lionel JOSPIN, Mmes Corinne LUQUIENS, Nicole MAESTRACCI et M. Michel</w:t>
      </w:r>
      <w:r>
        <w:rPr>
          <w:spacing w:val="-4"/>
        </w:rPr>
        <w:t xml:space="preserve"> </w:t>
      </w:r>
      <w:r>
        <w:t>PINAULT.</w:t>
      </w:r>
    </w:p>
    <w:sectPr w:rsidR="00A54C16">
      <w:pgSz w:w="11910" w:h="16840"/>
      <w:pgMar w:top="1320" w:right="1300" w:bottom="280" w:left="13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7D" w:rsidRDefault="0020637D">
      <w:r>
        <w:separator/>
      </w:r>
    </w:p>
  </w:endnote>
  <w:endnote w:type="continuationSeparator" w:id="0">
    <w:p w:rsidR="0020637D" w:rsidRDefault="002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7D" w:rsidRDefault="0020637D">
      <w:r>
        <w:separator/>
      </w:r>
    </w:p>
  </w:footnote>
  <w:footnote w:type="continuationSeparator" w:id="0">
    <w:p w:rsidR="0020637D" w:rsidRDefault="002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16" w:rsidRDefault="00666BBA">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6443345</wp:posOffset>
              </wp:positionH>
              <wp:positionV relativeFrom="page">
                <wp:posOffset>439420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C16" w:rsidRDefault="0020637D">
                          <w:pPr>
                            <w:pStyle w:val="a3"/>
                            <w:spacing w:before="9"/>
                            <w:ind w:left="60"/>
                          </w:pPr>
                          <w:r>
                            <w:fldChar w:fldCharType="begin"/>
                          </w:r>
                          <w:r>
                            <w:instrText xml:space="preserve"> PAGE </w:instrText>
                          </w:r>
                          <w:r>
                            <w:fldChar w:fldCharType="separate"/>
                          </w:r>
                          <w:r w:rsidR="00666BB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35pt;margin-top:34.6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" filled="f" stroked="f">
              <v:textbox inset="0,0,0,0">
                <w:txbxContent>
                  <w:p w:rsidR="00A54C16" w:rsidRDefault="0020637D">
                    <w:pPr>
                      <w:pStyle w:val="a3"/>
                      <w:spacing w:before="9"/>
                      <w:ind w:left="60"/>
                    </w:pPr>
                    <w:r>
                      <w:fldChar w:fldCharType="begin"/>
                    </w:r>
                    <w:r>
                      <w:instrText xml:space="preserve"> PAGE </w:instrText>
                    </w:r>
                    <w:r>
                      <w:fldChar w:fldCharType="separate"/>
                    </w:r>
                    <w:r w:rsidR="00666BBA">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2841"/>
    <w:multiLevelType w:val="hybridMultilevel"/>
    <w:tmpl w:val="1618FE7C"/>
    <w:lvl w:ilvl="0" w:tplc="635678CE">
      <w:start w:val="1"/>
      <w:numFmt w:val="decimal"/>
      <w:lvlText w:val="%1."/>
      <w:lvlJc w:val="left"/>
      <w:pPr>
        <w:ind w:left="681" w:hanging="706"/>
        <w:jc w:val="right"/>
      </w:pPr>
      <w:rPr>
        <w:rFonts w:ascii="Times New Roman" w:eastAsia="Times New Roman" w:hAnsi="Times New Roman" w:cs="Times New Roman" w:hint="default"/>
        <w:spacing w:val="0"/>
        <w:w w:val="100"/>
        <w:sz w:val="28"/>
        <w:szCs w:val="28"/>
        <w:lang w:val="fr-FR" w:eastAsia="en-US" w:bidi="ar-SA"/>
      </w:rPr>
    </w:lvl>
    <w:lvl w:ilvl="1" w:tplc="067AEAF4">
      <w:numFmt w:val="bullet"/>
      <w:lvlText w:val="•"/>
      <w:lvlJc w:val="left"/>
      <w:pPr>
        <w:ind w:left="2180" w:hanging="706"/>
      </w:pPr>
      <w:rPr>
        <w:rFonts w:hint="default"/>
        <w:lang w:val="fr-FR" w:eastAsia="en-US" w:bidi="ar-SA"/>
      </w:rPr>
    </w:lvl>
    <w:lvl w:ilvl="2" w:tplc="4B102C98">
      <w:numFmt w:val="bullet"/>
      <w:lvlText w:val="•"/>
      <w:lvlJc w:val="left"/>
      <w:pPr>
        <w:ind w:left="2971" w:hanging="706"/>
      </w:pPr>
      <w:rPr>
        <w:rFonts w:hint="default"/>
        <w:lang w:val="fr-FR" w:eastAsia="en-US" w:bidi="ar-SA"/>
      </w:rPr>
    </w:lvl>
    <w:lvl w:ilvl="3" w:tplc="18FCBAD0">
      <w:numFmt w:val="bullet"/>
      <w:lvlText w:val="•"/>
      <w:lvlJc w:val="left"/>
      <w:pPr>
        <w:ind w:left="3763" w:hanging="706"/>
      </w:pPr>
      <w:rPr>
        <w:rFonts w:hint="default"/>
        <w:lang w:val="fr-FR" w:eastAsia="en-US" w:bidi="ar-SA"/>
      </w:rPr>
    </w:lvl>
    <w:lvl w:ilvl="4" w:tplc="45F4F7E4">
      <w:numFmt w:val="bullet"/>
      <w:lvlText w:val="•"/>
      <w:lvlJc w:val="left"/>
      <w:pPr>
        <w:ind w:left="4555" w:hanging="706"/>
      </w:pPr>
      <w:rPr>
        <w:rFonts w:hint="default"/>
        <w:lang w:val="fr-FR" w:eastAsia="en-US" w:bidi="ar-SA"/>
      </w:rPr>
    </w:lvl>
    <w:lvl w:ilvl="5" w:tplc="AA4EF07E">
      <w:numFmt w:val="bullet"/>
      <w:lvlText w:val="•"/>
      <w:lvlJc w:val="left"/>
      <w:pPr>
        <w:ind w:left="5347" w:hanging="706"/>
      </w:pPr>
      <w:rPr>
        <w:rFonts w:hint="default"/>
        <w:lang w:val="fr-FR" w:eastAsia="en-US" w:bidi="ar-SA"/>
      </w:rPr>
    </w:lvl>
    <w:lvl w:ilvl="6" w:tplc="9AA2DA12">
      <w:numFmt w:val="bullet"/>
      <w:lvlText w:val="•"/>
      <w:lvlJc w:val="left"/>
      <w:pPr>
        <w:ind w:left="6139" w:hanging="706"/>
      </w:pPr>
      <w:rPr>
        <w:rFonts w:hint="default"/>
        <w:lang w:val="fr-FR" w:eastAsia="en-US" w:bidi="ar-SA"/>
      </w:rPr>
    </w:lvl>
    <w:lvl w:ilvl="7" w:tplc="5CA482E0">
      <w:numFmt w:val="bullet"/>
      <w:lvlText w:val="•"/>
      <w:lvlJc w:val="left"/>
      <w:pPr>
        <w:ind w:left="6930" w:hanging="706"/>
      </w:pPr>
      <w:rPr>
        <w:rFonts w:hint="default"/>
        <w:lang w:val="fr-FR" w:eastAsia="en-US" w:bidi="ar-SA"/>
      </w:rPr>
    </w:lvl>
    <w:lvl w:ilvl="8" w:tplc="64B29C1C">
      <w:numFmt w:val="bullet"/>
      <w:lvlText w:val="•"/>
      <w:lvlJc w:val="left"/>
      <w:pPr>
        <w:ind w:left="7722" w:hanging="706"/>
      </w:pPr>
      <w:rPr>
        <w:rFonts w:hint="default"/>
        <w:lang w:val="fr-FR" w:eastAsia="en-US" w:bidi="ar-SA"/>
      </w:rPr>
    </w:lvl>
  </w:abstractNum>
  <w:abstractNum w:abstractNumId="1" w15:restartNumberingAfterBreak="0">
    <w:nsid w:val="3CAC530B"/>
    <w:multiLevelType w:val="hybridMultilevel"/>
    <w:tmpl w:val="4AC01ECC"/>
    <w:lvl w:ilvl="0" w:tplc="E01ACB70">
      <w:numFmt w:val="bullet"/>
      <w:lvlText w:val="–"/>
      <w:lvlJc w:val="left"/>
      <w:pPr>
        <w:ind w:left="682" w:hanging="289"/>
      </w:pPr>
      <w:rPr>
        <w:rFonts w:ascii="Times New Roman" w:eastAsia="Times New Roman" w:hAnsi="Times New Roman" w:cs="Times New Roman" w:hint="default"/>
        <w:w w:val="99"/>
        <w:sz w:val="28"/>
        <w:szCs w:val="28"/>
        <w:lang w:val="fr-FR" w:eastAsia="en-US" w:bidi="ar-SA"/>
      </w:rPr>
    </w:lvl>
    <w:lvl w:ilvl="1" w:tplc="0952E27E">
      <w:numFmt w:val="bullet"/>
      <w:lvlText w:val="•"/>
      <w:lvlJc w:val="left"/>
      <w:pPr>
        <w:ind w:left="1542" w:hanging="289"/>
      </w:pPr>
      <w:rPr>
        <w:rFonts w:hint="default"/>
        <w:lang w:val="fr-FR" w:eastAsia="en-US" w:bidi="ar-SA"/>
      </w:rPr>
    </w:lvl>
    <w:lvl w:ilvl="2" w:tplc="8072FF38">
      <w:numFmt w:val="bullet"/>
      <w:lvlText w:val="•"/>
      <w:lvlJc w:val="left"/>
      <w:pPr>
        <w:ind w:left="2405" w:hanging="289"/>
      </w:pPr>
      <w:rPr>
        <w:rFonts w:hint="default"/>
        <w:lang w:val="fr-FR" w:eastAsia="en-US" w:bidi="ar-SA"/>
      </w:rPr>
    </w:lvl>
    <w:lvl w:ilvl="3" w:tplc="CC86B40C">
      <w:numFmt w:val="bullet"/>
      <w:lvlText w:val="•"/>
      <w:lvlJc w:val="left"/>
      <w:pPr>
        <w:ind w:left="3267" w:hanging="289"/>
      </w:pPr>
      <w:rPr>
        <w:rFonts w:hint="default"/>
        <w:lang w:val="fr-FR" w:eastAsia="en-US" w:bidi="ar-SA"/>
      </w:rPr>
    </w:lvl>
    <w:lvl w:ilvl="4" w:tplc="A950E60C">
      <w:numFmt w:val="bullet"/>
      <w:lvlText w:val="•"/>
      <w:lvlJc w:val="left"/>
      <w:pPr>
        <w:ind w:left="4130" w:hanging="289"/>
      </w:pPr>
      <w:rPr>
        <w:rFonts w:hint="default"/>
        <w:lang w:val="fr-FR" w:eastAsia="en-US" w:bidi="ar-SA"/>
      </w:rPr>
    </w:lvl>
    <w:lvl w:ilvl="5" w:tplc="E836DDF2">
      <w:numFmt w:val="bullet"/>
      <w:lvlText w:val="•"/>
      <w:lvlJc w:val="left"/>
      <w:pPr>
        <w:ind w:left="4993" w:hanging="289"/>
      </w:pPr>
      <w:rPr>
        <w:rFonts w:hint="default"/>
        <w:lang w:val="fr-FR" w:eastAsia="en-US" w:bidi="ar-SA"/>
      </w:rPr>
    </w:lvl>
    <w:lvl w:ilvl="6" w:tplc="0E7AC198">
      <w:numFmt w:val="bullet"/>
      <w:lvlText w:val="•"/>
      <w:lvlJc w:val="left"/>
      <w:pPr>
        <w:ind w:left="5855" w:hanging="289"/>
      </w:pPr>
      <w:rPr>
        <w:rFonts w:hint="default"/>
        <w:lang w:val="fr-FR" w:eastAsia="en-US" w:bidi="ar-SA"/>
      </w:rPr>
    </w:lvl>
    <w:lvl w:ilvl="7" w:tplc="7700D698">
      <w:numFmt w:val="bullet"/>
      <w:lvlText w:val="•"/>
      <w:lvlJc w:val="left"/>
      <w:pPr>
        <w:ind w:left="6718" w:hanging="289"/>
      </w:pPr>
      <w:rPr>
        <w:rFonts w:hint="default"/>
        <w:lang w:val="fr-FR" w:eastAsia="en-US" w:bidi="ar-SA"/>
      </w:rPr>
    </w:lvl>
    <w:lvl w:ilvl="8" w:tplc="05E80736">
      <w:numFmt w:val="bullet"/>
      <w:lvlText w:val="•"/>
      <w:lvlJc w:val="left"/>
      <w:pPr>
        <w:ind w:left="7581" w:hanging="289"/>
      </w:pPr>
      <w:rPr>
        <w:rFonts w:hint="default"/>
        <w:lang w:val="fr-FR" w:eastAsia="en-US" w:bidi="ar-SA"/>
      </w:rPr>
    </w:lvl>
  </w:abstractNum>
  <w:abstractNum w:abstractNumId="2" w15:restartNumberingAfterBreak="0">
    <w:nsid w:val="6ED668F5"/>
    <w:multiLevelType w:val="hybridMultilevel"/>
    <w:tmpl w:val="78606BB0"/>
    <w:lvl w:ilvl="0" w:tplc="D862A29C">
      <w:numFmt w:val="bullet"/>
      <w:lvlText w:val="–"/>
      <w:lvlJc w:val="left"/>
      <w:pPr>
        <w:ind w:left="682" w:hanging="212"/>
      </w:pPr>
      <w:rPr>
        <w:rFonts w:ascii="Times New Roman" w:eastAsia="Times New Roman" w:hAnsi="Times New Roman" w:cs="Times New Roman" w:hint="default"/>
        <w:w w:val="99"/>
        <w:sz w:val="28"/>
        <w:szCs w:val="28"/>
        <w:lang w:val="fr-FR" w:eastAsia="en-US" w:bidi="ar-SA"/>
      </w:rPr>
    </w:lvl>
    <w:lvl w:ilvl="1" w:tplc="AEA0B82E">
      <w:numFmt w:val="bullet"/>
      <w:lvlText w:val="•"/>
      <w:lvlJc w:val="left"/>
      <w:pPr>
        <w:ind w:left="1542" w:hanging="212"/>
      </w:pPr>
      <w:rPr>
        <w:rFonts w:hint="default"/>
        <w:lang w:val="fr-FR" w:eastAsia="en-US" w:bidi="ar-SA"/>
      </w:rPr>
    </w:lvl>
    <w:lvl w:ilvl="2" w:tplc="4476CF72">
      <w:numFmt w:val="bullet"/>
      <w:lvlText w:val="•"/>
      <w:lvlJc w:val="left"/>
      <w:pPr>
        <w:ind w:left="2405" w:hanging="212"/>
      </w:pPr>
      <w:rPr>
        <w:rFonts w:hint="default"/>
        <w:lang w:val="fr-FR" w:eastAsia="en-US" w:bidi="ar-SA"/>
      </w:rPr>
    </w:lvl>
    <w:lvl w:ilvl="3" w:tplc="058E7B8A">
      <w:numFmt w:val="bullet"/>
      <w:lvlText w:val="•"/>
      <w:lvlJc w:val="left"/>
      <w:pPr>
        <w:ind w:left="3267" w:hanging="212"/>
      </w:pPr>
      <w:rPr>
        <w:rFonts w:hint="default"/>
        <w:lang w:val="fr-FR" w:eastAsia="en-US" w:bidi="ar-SA"/>
      </w:rPr>
    </w:lvl>
    <w:lvl w:ilvl="4" w:tplc="F50697F0">
      <w:numFmt w:val="bullet"/>
      <w:lvlText w:val="•"/>
      <w:lvlJc w:val="left"/>
      <w:pPr>
        <w:ind w:left="4130" w:hanging="212"/>
      </w:pPr>
      <w:rPr>
        <w:rFonts w:hint="default"/>
        <w:lang w:val="fr-FR" w:eastAsia="en-US" w:bidi="ar-SA"/>
      </w:rPr>
    </w:lvl>
    <w:lvl w:ilvl="5" w:tplc="4E1CDE2E">
      <w:numFmt w:val="bullet"/>
      <w:lvlText w:val="•"/>
      <w:lvlJc w:val="left"/>
      <w:pPr>
        <w:ind w:left="4993" w:hanging="212"/>
      </w:pPr>
      <w:rPr>
        <w:rFonts w:hint="default"/>
        <w:lang w:val="fr-FR" w:eastAsia="en-US" w:bidi="ar-SA"/>
      </w:rPr>
    </w:lvl>
    <w:lvl w:ilvl="6" w:tplc="414EA0C6">
      <w:numFmt w:val="bullet"/>
      <w:lvlText w:val="•"/>
      <w:lvlJc w:val="left"/>
      <w:pPr>
        <w:ind w:left="5855" w:hanging="212"/>
      </w:pPr>
      <w:rPr>
        <w:rFonts w:hint="default"/>
        <w:lang w:val="fr-FR" w:eastAsia="en-US" w:bidi="ar-SA"/>
      </w:rPr>
    </w:lvl>
    <w:lvl w:ilvl="7" w:tplc="628E441C">
      <w:numFmt w:val="bullet"/>
      <w:lvlText w:val="•"/>
      <w:lvlJc w:val="left"/>
      <w:pPr>
        <w:ind w:left="6718" w:hanging="212"/>
      </w:pPr>
      <w:rPr>
        <w:rFonts w:hint="default"/>
        <w:lang w:val="fr-FR" w:eastAsia="en-US" w:bidi="ar-SA"/>
      </w:rPr>
    </w:lvl>
    <w:lvl w:ilvl="8" w:tplc="5AE6BB4C">
      <w:numFmt w:val="bullet"/>
      <w:lvlText w:val="•"/>
      <w:lvlJc w:val="left"/>
      <w:pPr>
        <w:ind w:left="7581" w:hanging="212"/>
      </w:pPr>
      <w:rPr>
        <w:rFonts w:hint="default"/>
        <w:lang w:val="fr-F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16"/>
    <w:rsid w:val="0020637D"/>
    <w:rsid w:val="00666BBA"/>
    <w:rsid w:val="00A5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C479F-0034-4849-B4DD-DB3EC57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682" w:right="113" w:firstLine="85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14120</Words>
  <Characters>80487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Décision n° 2017-745 DC du 26 janvier 2017 - Loi relative à l'égalité et à la citoyenneté             </vt:lpstr>
    </vt:vector>
  </TitlesOfParts>
  <Company/>
  <LinksUpToDate>false</LinksUpToDate>
  <CharactersWithSpaces>94419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n° 2017-745 DC du 26 janvier 2017 - Loi relative à l'égalité et à la citoyenneté</dc:title>
  <dc:creator>Conseil constitutionnel</dc:creator>
  <cp:lastModifiedBy>Nataliia</cp:lastModifiedBy>
  <cp:revision>2</cp:revision>
  <dcterms:created xsi:type="dcterms:W3CDTF">2020-11-26T15:01:00Z</dcterms:created>
  <dcterms:modified xsi:type="dcterms:W3CDTF">2020-11-26T15:01:00Z</dcterms:modified>
</cp:coreProperties>
</file>