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58"/>
        <w:gridCol w:w="58"/>
        <w:gridCol w:w="467"/>
        <w:gridCol w:w="424"/>
        <w:gridCol w:w="86"/>
        <w:gridCol w:w="70"/>
        <w:gridCol w:w="1001"/>
        <w:gridCol w:w="573"/>
        <w:gridCol w:w="2509"/>
        <w:gridCol w:w="16"/>
        <w:gridCol w:w="404"/>
        <w:gridCol w:w="419"/>
        <w:gridCol w:w="671"/>
        <w:gridCol w:w="854"/>
        <w:gridCol w:w="841"/>
        <w:gridCol w:w="396"/>
        <w:gridCol w:w="293"/>
        <w:gridCol w:w="1011"/>
        <w:gridCol w:w="517"/>
        <w:gridCol w:w="1179"/>
        <w:gridCol w:w="351"/>
        <w:gridCol w:w="1355"/>
        <w:gridCol w:w="180"/>
        <w:gridCol w:w="29"/>
        <w:gridCol w:w="256"/>
        <w:gridCol w:w="1252"/>
      </w:tblGrid>
      <w:tr w:rsidR="00CE14C5" w:rsidTr="00D47AD2">
        <w:trPr>
          <w:trHeight w:hRule="exact" w:val="15"/>
        </w:trPr>
        <w:tc>
          <w:tcPr>
            <w:tcW w:w="1020" w:type="dxa"/>
            <w:gridSpan w:val="4"/>
            <w:vMerge w:val="restart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0" w:name="1"/>
            <w:bookmarkEnd w:id="0"/>
          </w:p>
        </w:tc>
        <w:tc>
          <w:tcPr>
            <w:tcW w:w="5533" w:type="dxa"/>
            <w:gridSpan w:val="9"/>
            <w:vMerge w:val="restart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 w:val="restart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vMerge w:val="restart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 w:val="restart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616" w:type="dxa"/>
            <w:gridSpan w:val="7"/>
            <w:vMerge w:val="restart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268"/>
        </w:trPr>
        <w:tc>
          <w:tcPr>
            <w:tcW w:w="1020" w:type="dxa"/>
            <w:gridSpan w:val="4"/>
            <w:vMerge/>
            <w:tcMar>
              <w:left w:w="34" w:type="dxa"/>
              <w:right w:w="34" w:type="dxa"/>
            </w:tcMar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33" w:type="dxa"/>
            <w:gridSpan w:val="9"/>
            <w:vMerge/>
            <w:tcMar>
              <w:left w:w="34" w:type="dxa"/>
              <w:right w:w="34" w:type="dxa"/>
            </w:tcMar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3" w:type="dxa"/>
            <w:gridSpan w:val="2"/>
            <w:vMerge/>
            <w:tcMar>
              <w:left w:w="34" w:type="dxa"/>
              <w:right w:w="34" w:type="dxa"/>
            </w:tcMar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7" w:type="dxa"/>
            <w:gridSpan w:val="3"/>
            <w:vMerge/>
            <w:tcMar>
              <w:left w:w="34" w:type="dxa"/>
              <w:right w:w="34" w:type="dxa"/>
            </w:tcMar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5" w:type="dxa"/>
            <w:gridSpan w:val="2"/>
            <w:vMerge/>
            <w:tcMar>
              <w:left w:w="34" w:type="dxa"/>
              <w:right w:w="34" w:type="dxa"/>
            </w:tcMar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16" w:type="dxa"/>
            <w:gridSpan w:val="7"/>
            <w:vMerge/>
            <w:tcMar>
              <w:left w:w="34" w:type="dxa"/>
              <w:right w:w="34" w:type="dxa"/>
            </w:tcMar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14C5" w:rsidTr="00D47AD2">
        <w:trPr>
          <w:trHeight w:hRule="exact" w:val="284"/>
        </w:trPr>
        <w:tc>
          <w:tcPr>
            <w:tcW w:w="1020" w:type="dxa"/>
            <w:gridSpan w:val="4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33" w:type="dxa"/>
            <w:gridSpan w:val="9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850"/>
        </w:trPr>
        <w:tc>
          <w:tcPr>
            <w:tcW w:w="15774" w:type="dxa"/>
            <w:gridSpan w:val="27"/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Результати оцінки ефективності бюджетної програми</w:t>
            </w:r>
          </w:p>
          <w:p w:rsidR="00CE14C5" w:rsidRDefault="00D47AD2">
            <w:pPr>
              <w:spacing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 2025 рік</w:t>
            </w:r>
          </w:p>
        </w:tc>
      </w:tr>
      <w:tr w:rsidR="00CE14C5" w:rsidTr="00D47AD2">
        <w:trPr>
          <w:trHeight w:hRule="exact" w:val="284"/>
        </w:trPr>
        <w:tc>
          <w:tcPr>
            <w:tcW w:w="1020" w:type="dxa"/>
            <w:gridSpan w:val="4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33" w:type="dxa"/>
            <w:gridSpan w:val="9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284"/>
        </w:trPr>
        <w:tc>
          <w:tcPr>
            <w:tcW w:w="1020" w:type="dxa"/>
            <w:gridSpan w:val="4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33" w:type="dxa"/>
            <w:gridSpan w:val="9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283"/>
        </w:trPr>
        <w:tc>
          <w:tcPr>
            <w:tcW w:w="437" w:type="dxa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08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080</w:t>
            </w:r>
          </w:p>
        </w:tc>
        <w:tc>
          <w:tcPr>
            <w:tcW w:w="156" w:type="dxa"/>
            <w:gridSpan w:val="2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173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Конституційний Суд України</w:t>
            </w:r>
          </w:p>
        </w:tc>
      </w:tr>
      <w:tr w:rsidR="00CE14C5" w:rsidTr="00D47AD2">
        <w:trPr>
          <w:trHeight w:hRule="exact" w:val="283"/>
        </w:trPr>
        <w:tc>
          <w:tcPr>
            <w:tcW w:w="437" w:type="dxa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4"/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(КВКВК ДБ)</w:t>
            </w:r>
          </w:p>
        </w:tc>
        <w:tc>
          <w:tcPr>
            <w:tcW w:w="156" w:type="dxa"/>
            <w:gridSpan w:val="2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003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77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7" w:type="dxa"/>
            <w:gridSpan w:val="17"/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56" w:type="dxa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CE14C5" w:rsidTr="00D47AD2">
        <w:trPr>
          <w:trHeight w:hRule="exact" w:val="284"/>
        </w:trPr>
        <w:tc>
          <w:tcPr>
            <w:tcW w:w="437" w:type="dxa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5337" w:type="dxa"/>
            <w:gridSpan w:val="2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Конституційний Суд України</w:t>
            </w:r>
          </w:p>
        </w:tc>
      </w:tr>
      <w:tr w:rsidR="00CE14C5" w:rsidTr="00D47AD2">
        <w:trPr>
          <w:trHeight w:hRule="exact" w:val="283"/>
        </w:trPr>
        <w:tc>
          <w:tcPr>
            <w:tcW w:w="437" w:type="dxa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4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156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3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77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7" w:type="dxa"/>
            <w:gridSpan w:val="17"/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56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316"/>
        </w:trPr>
        <w:tc>
          <w:tcPr>
            <w:tcW w:w="437" w:type="dxa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08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0801010</w:t>
            </w:r>
          </w:p>
        </w:tc>
        <w:tc>
          <w:tcPr>
            <w:tcW w:w="156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0330</w:t>
            </w:r>
          </w:p>
        </w:tc>
        <w:tc>
          <w:tcPr>
            <w:tcW w:w="577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593" w:type="dxa"/>
            <w:gridSpan w:val="1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 конституційної юрисдикції в Україні</w:t>
            </w:r>
          </w:p>
        </w:tc>
      </w:tr>
      <w:tr w:rsidR="00CE14C5" w:rsidTr="00D47AD2">
        <w:trPr>
          <w:trHeight w:hRule="exact" w:val="284"/>
        </w:trPr>
        <w:tc>
          <w:tcPr>
            <w:tcW w:w="437" w:type="dxa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4"/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(КПКВК ДБ)</w:t>
            </w:r>
          </w:p>
        </w:tc>
        <w:tc>
          <w:tcPr>
            <w:tcW w:w="156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3" w:type="dxa"/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(КФКВК)</w:t>
            </w:r>
          </w:p>
        </w:tc>
        <w:tc>
          <w:tcPr>
            <w:tcW w:w="577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7" w:type="dxa"/>
            <w:gridSpan w:val="17"/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56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142"/>
        </w:trPr>
        <w:tc>
          <w:tcPr>
            <w:tcW w:w="43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2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8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14C5" w:rsidTr="00D47AD2">
        <w:trPr>
          <w:trHeight w:hRule="exact" w:val="283"/>
        </w:trPr>
        <w:tc>
          <w:tcPr>
            <w:tcW w:w="495" w:type="dxa"/>
            <w:gridSpan w:val="2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754" w:type="dxa"/>
            <w:gridSpan w:val="23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CE14C5" w:rsidTr="00D47AD2">
        <w:trPr>
          <w:trHeight w:hRule="exact" w:val="283"/>
        </w:trPr>
        <w:tc>
          <w:tcPr>
            <w:tcW w:w="15774" w:type="dxa"/>
            <w:gridSpan w:val="2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Ціль державної політики:</w:t>
            </w:r>
          </w:p>
        </w:tc>
      </w:tr>
      <w:tr w:rsidR="00CE14C5" w:rsidTr="00D47AD2">
        <w:trPr>
          <w:trHeight w:hRule="exact" w:val="316"/>
        </w:trPr>
        <w:tc>
          <w:tcPr>
            <w:tcW w:w="15774" w:type="dxa"/>
            <w:gridSpan w:val="27"/>
            <w:tcMar>
              <w:left w:w="34" w:type="dxa"/>
              <w:right w:w="34" w:type="dxa"/>
            </w:tcMar>
            <w:vAlign w:val="bottom"/>
          </w:tcPr>
          <w:p w:rsidR="00CE14C5" w:rsidRPr="00B812C7" w:rsidRDefault="00D47AD2">
            <w:pPr>
              <w:spacing w:before="15" w:after="15" w:line="238" w:lineRule="auto"/>
              <w:ind w:left="30" w:right="3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 верховенства Конституції України через здійснення конституційного контролю</w:t>
            </w:r>
            <w:r w:rsidR="00B812C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CE14C5" w:rsidTr="00D47AD2">
        <w:trPr>
          <w:trHeight w:hRule="exact" w:val="283"/>
        </w:trPr>
        <w:tc>
          <w:tcPr>
            <w:tcW w:w="1020" w:type="dxa"/>
            <w:gridSpan w:val="4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33" w:type="dxa"/>
            <w:gridSpan w:val="9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283"/>
        </w:trPr>
        <w:tc>
          <w:tcPr>
            <w:tcW w:w="15774" w:type="dxa"/>
            <w:gridSpan w:val="2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Мета бюджетної програми</w:t>
            </w:r>
          </w:p>
        </w:tc>
      </w:tr>
      <w:tr w:rsidR="00CE14C5" w:rsidTr="00D47AD2">
        <w:trPr>
          <w:trHeight w:hRule="exact" w:val="298"/>
        </w:trPr>
        <w:tc>
          <w:tcPr>
            <w:tcW w:w="15774" w:type="dxa"/>
            <w:gridSpan w:val="27"/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дотримання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норм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Конституції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свобод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людини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громадянина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здійснення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публічної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влади.</w:t>
            </w:r>
            <w:r>
              <w:t xml:space="preserve"> </w:t>
            </w:r>
          </w:p>
        </w:tc>
      </w:tr>
      <w:tr w:rsidR="00CE14C5" w:rsidTr="00D47AD2">
        <w:trPr>
          <w:trHeight w:hRule="exact" w:val="283"/>
        </w:trPr>
        <w:tc>
          <w:tcPr>
            <w:tcW w:w="495" w:type="dxa"/>
            <w:gridSpan w:val="2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754" w:type="dxa"/>
            <w:gridSpan w:val="23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CE14C5" w:rsidTr="00D47AD2">
        <w:trPr>
          <w:trHeight w:hRule="exact" w:val="283"/>
        </w:trPr>
        <w:tc>
          <w:tcPr>
            <w:tcW w:w="15774" w:type="dxa"/>
            <w:gridSpan w:val="2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Завдання бюджетної програми:</w:t>
            </w:r>
          </w:p>
        </w:tc>
      </w:tr>
      <w:tr w:rsidR="00CE14C5" w:rsidTr="00D47AD2">
        <w:trPr>
          <w:trHeight w:hRule="exact" w:val="551"/>
        </w:trPr>
        <w:tc>
          <w:tcPr>
            <w:tcW w:w="15774" w:type="dxa"/>
            <w:gridSpan w:val="2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  Забезпечення функціонування Великої палати, сенатів, колегій Конституційного Суду України, оптимізація розгляду клопотань у конституційному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провадженні.</w:t>
            </w:r>
          </w:p>
        </w:tc>
      </w:tr>
      <w:tr w:rsidR="00CE14C5" w:rsidTr="00D47AD2">
        <w:trPr>
          <w:trHeight w:hRule="exact" w:val="298"/>
        </w:trPr>
        <w:tc>
          <w:tcPr>
            <w:tcW w:w="15774" w:type="dxa"/>
            <w:gridSpan w:val="2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  Утвердження інституту конституційної скарги як дієвого засобу захисту конституційних прав людини і громадянина.</w:t>
            </w:r>
          </w:p>
        </w:tc>
      </w:tr>
      <w:tr w:rsidR="00CE14C5" w:rsidTr="00D47AD2">
        <w:trPr>
          <w:trHeight w:hRule="exact" w:val="298"/>
        </w:trPr>
        <w:tc>
          <w:tcPr>
            <w:tcW w:w="15774" w:type="dxa"/>
            <w:gridSpan w:val="2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  Забезпечення діяльності Конституційного Суду України як державного органу і юридичної особи публічного права.</w:t>
            </w:r>
          </w:p>
        </w:tc>
      </w:tr>
      <w:tr w:rsidR="00CE14C5" w:rsidTr="00D47AD2">
        <w:trPr>
          <w:trHeight w:hRule="exact" w:val="283"/>
        </w:trPr>
        <w:tc>
          <w:tcPr>
            <w:tcW w:w="43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2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8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14C5" w:rsidTr="00D47AD2">
        <w:trPr>
          <w:trHeight w:hRule="exact" w:val="284"/>
        </w:trPr>
        <w:tc>
          <w:tcPr>
            <w:tcW w:w="15774" w:type="dxa"/>
            <w:gridSpan w:val="2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 Видатки / надання кредитів</w:t>
            </w:r>
          </w:p>
        </w:tc>
      </w:tr>
      <w:tr w:rsidR="00CE14C5" w:rsidTr="00D47AD2">
        <w:trPr>
          <w:trHeight w:hRule="exact" w:val="284"/>
        </w:trPr>
        <w:tc>
          <w:tcPr>
            <w:tcW w:w="15774" w:type="dxa"/>
            <w:gridSpan w:val="2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5.1. Видатки / надання кредитів за напрямами використання бюджетних коштів</w:t>
            </w:r>
          </w:p>
        </w:tc>
      </w:tr>
      <w:tr w:rsidR="00CE14C5" w:rsidTr="00D47AD2">
        <w:trPr>
          <w:trHeight w:hRule="exact" w:val="283"/>
        </w:trPr>
        <w:tc>
          <w:tcPr>
            <w:tcW w:w="553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675" w:type="dxa"/>
            <w:gridSpan w:val="11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(тис грн)</w:t>
            </w:r>
          </w:p>
        </w:tc>
      </w:tr>
      <w:tr w:rsidR="00CE14C5" w:rsidTr="00D47AD2">
        <w:trPr>
          <w:trHeight w:hRule="exact" w:val="851"/>
        </w:trPr>
        <w:tc>
          <w:tcPr>
            <w:tcW w:w="722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 зі змінами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плану зі змінами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 плану (+/-)</w:t>
            </w:r>
          </w:p>
        </w:tc>
        <w:tc>
          <w:tcPr>
            <w:tcW w:w="17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факту від плану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зі змінами (+/-)</w:t>
            </w:r>
          </w:p>
        </w:tc>
      </w:tr>
      <w:tr w:rsidR="00CE14C5" w:rsidTr="00D47AD2">
        <w:trPr>
          <w:trHeight w:hRule="exact" w:val="283"/>
        </w:trPr>
        <w:tc>
          <w:tcPr>
            <w:tcW w:w="722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E14C5" w:rsidTr="00D47AD2">
        <w:trPr>
          <w:trHeight w:hRule="exact" w:val="474"/>
        </w:trPr>
        <w:tc>
          <w:tcPr>
            <w:tcW w:w="43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2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8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E14C5" w:rsidRDefault="00CE14C5">
      <w:pPr>
        <w:sectPr w:rsidR="00CE14C5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285"/>
        <w:gridCol w:w="254"/>
        <w:gridCol w:w="928"/>
        <w:gridCol w:w="1477"/>
        <w:gridCol w:w="1467"/>
        <w:gridCol w:w="710"/>
        <w:gridCol w:w="767"/>
        <w:gridCol w:w="329"/>
        <w:gridCol w:w="1138"/>
        <w:gridCol w:w="561"/>
        <w:gridCol w:w="398"/>
        <w:gridCol w:w="518"/>
        <w:gridCol w:w="780"/>
        <w:gridCol w:w="688"/>
        <w:gridCol w:w="1018"/>
        <w:gridCol w:w="459"/>
        <w:gridCol w:w="1234"/>
        <w:gridCol w:w="192"/>
        <w:gridCol w:w="41"/>
        <w:gridCol w:w="1477"/>
      </w:tblGrid>
      <w:tr w:rsidR="00CE14C5" w:rsidTr="00D47AD2">
        <w:trPr>
          <w:trHeight w:hRule="exact" w:val="267"/>
        </w:trPr>
        <w:tc>
          <w:tcPr>
            <w:tcW w:w="72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bookmarkStart w:id="1" w:name="2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ВСЬОГО за бюджетною програмою: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332 718,7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332 729,5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309 237,2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-23 492,3</w:t>
            </w:r>
          </w:p>
        </w:tc>
      </w:tr>
      <w:tr w:rsidR="00CE14C5" w:rsidTr="00D47AD2">
        <w:trPr>
          <w:trHeight w:hRule="exact" w:val="267"/>
        </w:trPr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тому числі:</w:t>
            </w:r>
          </w:p>
        </w:tc>
        <w:tc>
          <w:tcPr>
            <w:tcW w:w="597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332 718,7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332 718,7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309 228,4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-23 490,3</w:t>
            </w:r>
          </w:p>
        </w:tc>
      </w:tr>
      <w:tr w:rsidR="00CE14C5" w:rsidTr="00D47AD2">
        <w:trPr>
          <w:trHeight w:hRule="exact" w:val="283"/>
        </w:trPr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97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 фонд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-2,0</w:t>
            </w:r>
          </w:p>
        </w:tc>
      </w:tr>
      <w:tr w:rsidR="00CE14C5" w:rsidTr="00D47AD2">
        <w:trPr>
          <w:trHeight w:hRule="exact" w:val="267"/>
        </w:trPr>
        <w:tc>
          <w:tcPr>
            <w:tcW w:w="72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Забезпечення виконання функцій та завдань Конституційного Суду України, всього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332 676,3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332 687,1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309 204,4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-23 482,7</w:t>
            </w:r>
          </w:p>
        </w:tc>
      </w:tr>
      <w:tr w:rsidR="00CE14C5" w:rsidTr="00D47AD2">
        <w:trPr>
          <w:trHeight w:hRule="exact" w:val="267"/>
        </w:trPr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тому числі:</w:t>
            </w:r>
          </w:p>
        </w:tc>
        <w:tc>
          <w:tcPr>
            <w:tcW w:w="597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332 676,3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332 676,3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309 195,6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-23 480,7</w:t>
            </w:r>
          </w:p>
        </w:tc>
      </w:tr>
      <w:tr w:rsidR="00CE14C5" w:rsidTr="00D47AD2">
        <w:trPr>
          <w:trHeight w:hRule="exact" w:val="284"/>
        </w:trPr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97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 фонд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-2,0</w:t>
            </w:r>
          </w:p>
        </w:tc>
      </w:tr>
      <w:tr w:rsidR="00CE14C5" w:rsidTr="00D47AD2">
        <w:trPr>
          <w:trHeight w:hRule="exact" w:val="267"/>
        </w:trPr>
        <w:tc>
          <w:tcPr>
            <w:tcW w:w="72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Підвищення кваліфікації працівників Конституційного Суду України, всього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-9,6</w:t>
            </w:r>
          </w:p>
        </w:tc>
      </w:tr>
      <w:tr w:rsidR="00CE14C5" w:rsidTr="00D47AD2">
        <w:trPr>
          <w:trHeight w:hRule="exact" w:val="267"/>
        </w:trPr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тому числі:</w:t>
            </w:r>
          </w:p>
        </w:tc>
        <w:tc>
          <w:tcPr>
            <w:tcW w:w="597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-9,6</w:t>
            </w:r>
          </w:p>
        </w:tc>
      </w:tr>
      <w:tr w:rsidR="00CE14C5" w:rsidTr="00D47AD2">
        <w:trPr>
          <w:trHeight w:hRule="exact" w:val="283"/>
        </w:trPr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597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 фонд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83"/>
        </w:trPr>
        <w:tc>
          <w:tcPr>
            <w:tcW w:w="15774" w:type="dxa"/>
            <w:gridSpan w:val="21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Пояснення щодо відхилень:</w:t>
            </w:r>
          </w:p>
        </w:tc>
      </w:tr>
      <w:tr w:rsidR="00CE14C5" w:rsidTr="00D47AD2">
        <w:trPr>
          <w:trHeight w:hRule="exact" w:val="33"/>
        </w:trPr>
        <w:tc>
          <w:tcPr>
            <w:tcW w:w="15774" w:type="dxa"/>
            <w:gridSpan w:val="21"/>
            <w:vMerge w:val="restart"/>
            <w:tcMar>
              <w:left w:w="34" w:type="dxa"/>
              <w:right w:w="34" w:type="dxa"/>
            </w:tcMar>
            <w:vAlign w:val="bottom"/>
          </w:tcPr>
          <w:p w:rsidR="00CE14C5" w:rsidRDefault="00D47AD2" w:rsidP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 видатки за бюджетною програмою Конституційного Суду України (далі - Суд) за 2025 рік за загальним фондом державного бюджету становлять 309 228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що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23 490,3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менше від видатків, затверджених паспортом бюджетної програми. Це становить 92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відсотка від плану.</w:t>
            </w:r>
          </w:p>
        </w:tc>
      </w:tr>
      <w:tr w:rsidR="00CE14C5" w:rsidTr="00D47AD2">
        <w:trPr>
          <w:trHeight w:hRule="exact" w:val="472"/>
        </w:trPr>
        <w:tc>
          <w:tcPr>
            <w:tcW w:w="15774" w:type="dxa"/>
            <w:gridSpan w:val="21"/>
            <w:vMerge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14C5" w:rsidTr="00D47AD2">
        <w:trPr>
          <w:trHeight w:hRule="exact" w:val="735"/>
        </w:trPr>
        <w:tc>
          <w:tcPr>
            <w:tcW w:w="15774" w:type="dxa"/>
            <w:gridSpan w:val="21"/>
            <w:tcMar>
              <w:left w:w="34" w:type="dxa"/>
              <w:right w:w="34" w:type="dxa"/>
            </w:tcMar>
            <w:vAlign w:val="bottom"/>
          </w:tcPr>
          <w:p w:rsidR="00CE14C5" w:rsidRDefault="00D47AD2" w:rsidP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Такий стан використання бюджетних коштів частково зумовлений неповним складом суддів Суду (наявністю 7 вакантних посад суддів Суду на початок 2025 року і 5 вакантних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посад – з вересня 2025 року), а частково економією за результатами проведення процедур закупівель задля досягнення максимальних результатів при мінімально можливих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витратах.</w:t>
            </w:r>
          </w:p>
        </w:tc>
      </w:tr>
      <w:tr w:rsidR="00CE14C5" w:rsidTr="00D47AD2">
        <w:trPr>
          <w:trHeight w:hRule="exact" w:val="505"/>
        </w:trPr>
        <w:tc>
          <w:tcPr>
            <w:tcW w:w="15774" w:type="dxa"/>
            <w:gridSpan w:val="21"/>
            <w:tcMar>
              <w:left w:w="34" w:type="dxa"/>
              <w:right w:w="34" w:type="dxa"/>
            </w:tcMar>
            <w:vAlign w:val="bottom"/>
          </w:tcPr>
          <w:p w:rsidR="00CE14C5" w:rsidRDefault="00D47AD2" w:rsidP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Фінансове забезпечення діяльності Суду в 2025 році здійснювали за напрямами "Забезпечення виконання функцій та завдань Конституційного Суду України" та "Підвищення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кваліфікації працівників Конституційного Суду України".</w:t>
            </w:r>
          </w:p>
        </w:tc>
      </w:tr>
      <w:tr w:rsidR="00CE14C5" w:rsidTr="00D47AD2">
        <w:trPr>
          <w:trHeight w:hRule="exact" w:val="735"/>
        </w:trPr>
        <w:tc>
          <w:tcPr>
            <w:tcW w:w="15774" w:type="dxa"/>
            <w:gridSpan w:val="21"/>
            <w:tcMar>
              <w:left w:w="34" w:type="dxa"/>
              <w:right w:w="34" w:type="dxa"/>
            </w:tcMar>
            <w:vAlign w:val="bottom"/>
          </w:tcPr>
          <w:p w:rsidR="00CE14C5" w:rsidRDefault="00D47AD2" w:rsidP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напрямом "Забезпечення виконання функцій та завдань Конституційного Суду України" проведено видатки на оплату праці суддів та працівників Суду і відповідні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нарахування; здійснено оплату комунальних послуг та енергоносіїв, сплату податків, зборів; придбано товари та отримано послуги для забезпечення функціонування установи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належному рівні і у відповідності до чинного законодавства в умовах воєнного стану.</w:t>
            </w:r>
          </w:p>
        </w:tc>
      </w:tr>
      <w:tr w:rsidR="00CE14C5" w:rsidTr="00D47AD2">
        <w:trPr>
          <w:trHeight w:hRule="exact" w:val="735"/>
        </w:trPr>
        <w:tc>
          <w:tcPr>
            <w:tcW w:w="15774" w:type="dxa"/>
            <w:gridSpan w:val="21"/>
            <w:tcMar>
              <w:left w:w="34" w:type="dxa"/>
              <w:right w:w="34" w:type="dxa"/>
            </w:tcMar>
            <w:vAlign w:val="bottom"/>
          </w:tcPr>
          <w:p w:rsidR="00CE14C5" w:rsidRDefault="00D47AD2" w:rsidP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Надходження до спеціального фонду державного бюджету не носять постійного характеру та їх не планують у Суді, джерелом надходжень у більшості випадків є надходження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натуральній формі. У звітному періоді були отримані натуральні надходження від безоплатного отримання основних засобів (бібліотечні фонди), від оренди та оприбуткування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металобрухту. Касові видатки за спеціальним фондом становлять 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E14C5" w:rsidTr="00D47AD2">
        <w:trPr>
          <w:trHeight w:hRule="exact" w:val="965"/>
        </w:trPr>
        <w:tc>
          <w:tcPr>
            <w:tcW w:w="15774" w:type="dxa"/>
            <w:gridSpan w:val="21"/>
            <w:tcMar>
              <w:left w:w="34" w:type="dxa"/>
              <w:right w:w="34" w:type="dxa"/>
            </w:tcMar>
            <w:vAlign w:val="bottom"/>
          </w:tcPr>
          <w:p w:rsidR="00CE14C5" w:rsidRDefault="00D47AD2" w:rsidP="002C0CE1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 видатки за напрямом "Підвищення кваліфікації працівників Конституційного Суду України" становлять 32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або 77,4 відсотків від запланованих. Підвищення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кваліфікації пройшли працівники Секретаріату Суду з питань військового обліку - 2 особи, а також працівники Автобази Суду - 18 осіб.</w:t>
            </w:r>
            <w:r w:rsidR="007F7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 фактичних показників від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планових у сумі 9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можна пояснити тим, що навчання пройшла менша кількість осіб від запланованої кількості серед працівників Автобази Суду, а також у</w:t>
            </w:r>
            <w:r w:rsidR="002C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Секретаріаті Суду (посада, за якою планували навчання з пожежної безпеки - вакантна).</w:t>
            </w:r>
          </w:p>
        </w:tc>
      </w:tr>
      <w:tr w:rsidR="00CE14C5" w:rsidTr="00D47AD2">
        <w:trPr>
          <w:trHeight w:hRule="exact" w:val="505"/>
        </w:trPr>
        <w:tc>
          <w:tcPr>
            <w:tcW w:w="15774" w:type="dxa"/>
            <w:gridSpan w:val="21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Державним службовцям Секретаріату Суду було рекомендовано у 2025 році самостійно підвищувати кваліфікацію за рахунок програм, які пропонують провайдери надання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освітніх послуг у сфері професійного навчання.</w:t>
            </w:r>
          </w:p>
        </w:tc>
      </w:tr>
      <w:tr w:rsidR="00CE14C5" w:rsidTr="00D47AD2">
        <w:trPr>
          <w:trHeight w:hRule="exact" w:val="142"/>
        </w:trPr>
        <w:tc>
          <w:tcPr>
            <w:tcW w:w="971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284"/>
        </w:trPr>
        <w:tc>
          <w:tcPr>
            <w:tcW w:w="15774" w:type="dxa"/>
            <w:gridSpan w:val="21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 w:rsidR="00CE14C5" w:rsidTr="00D47AD2">
        <w:trPr>
          <w:trHeight w:hRule="exact" w:val="284"/>
        </w:trPr>
        <w:tc>
          <w:tcPr>
            <w:tcW w:w="971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78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1478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1478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(тис грн)</w:t>
            </w:r>
          </w:p>
        </w:tc>
      </w:tr>
      <w:tr w:rsidR="00CE14C5" w:rsidTr="00D47AD2">
        <w:trPr>
          <w:trHeight w:hRule="exact" w:val="567"/>
        </w:trPr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КЕКВ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ККК</w:t>
            </w:r>
          </w:p>
        </w:tc>
        <w:tc>
          <w:tcPr>
            <w:tcW w:w="2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29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 зі змінами</w:t>
            </w:r>
          </w:p>
        </w:tc>
        <w:tc>
          <w:tcPr>
            <w:tcW w:w="29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 плану</w:t>
            </w:r>
          </w:p>
          <w:p w:rsidR="00CE14C5" w:rsidRDefault="00D47AD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 факту</w:t>
            </w:r>
          </w:p>
          <w:p w:rsidR="00CE14C5" w:rsidRDefault="00D47AD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 плану зі змінами (+/-)</w:t>
            </w:r>
          </w:p>
        </w:tc>
      </w:tr>
      <w:tr w:rsidR="00CE14C5" w:rsidTr="00D47AD2">
        <w:trPr>
          <w:trHeight w:hRule="exact" w:val="567"/>
        </w:trPr>
        <w:tc>
          <w:tcPr>
            <w:tcW w:w="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</w:tr>
      <w:tr w:rsidR="00CE14C5" w:rsidTr="00D47AD2">
        <w:trPr>
          <w:trHeight w:hRule="exact" w:val="284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E14C5" w:rsidTr="00D47AD2">
        <w:trPr>
          <w:trHeight w:hRule="exact" w:val="284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2111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187 300,5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188 185,8</w:t>
            </w:r>
          </w:p>
        </w:tc>
        <w:tc>
          <w:tcPr>
            <w:tcW w:w="1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188 185,6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885,3</w:t>
            </w:r>
          </w:p>
        </w:tc>
        <w:tc>
          <w:tcPr>
            <w:tcW w:w="1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-0,2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93"/>
        </w:trPr>
        <w:tc>
          <w:tcPr>
            <w:tcW w:w="97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8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8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E14C5" w:rsidRDefault="00CE14C5">
      <w:pPr>
        <w:sectPr w:rsidR="00CE14C5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476"/>
        <w:gridCol w:w="42"/>
        <w:gridCol w:w="509"/>
        <w:gridCol w:w="927"/>
        <w:gridCol w:w="1466"/>
        <w:gridCol w:w="1476"/>
        <w:gridCol w:w="701"/>
        <w:gridCol w:w="420"/>
        <w:gridCol w:w="347"/>
        <w:gridCol w:w="1183"/>
        <w:gridCol w:w="293"/>
        <w:gridCol w:w="950"/>
        <w:gridCol w:w="280"/>
        <w:gridCol w:w="236"/>
        <w:gridCol w:w="1291"/>
        <w:gridCol w:w="182"/>
        <w:gridCol w:w="1343"/>
        <w:gridCol w:w="125"/>
        <w:gridCol w:w="1405"/>
        <w:gridCol w:w="29"/>
        <w:gridCol w:w="41"/>
        <w:gridCol w:w="1467"/>
      </w:tblGrid>
      <w:tr w:rsidR="00CE14C5" w:rsidTr="00D47AD2">
        <w:trPr>
          <w:trHeight w:hRule="exact" w:val="283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bookmarkStart w:id="2" w:name="3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2113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83 452,2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77 117,6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56 373,2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-6 334,6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-20 744,4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84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46 663,2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47 363,2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45 673,3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-1 689,9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84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3 678,9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3 678,9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3 678,0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-0,9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-1,8</w:t>
            </w:r>
          </w:p>
        </w:tc>
      </w:tr>
      <w:tr w:rsidR="00CE14C5" w:rsidTr="00D47AD2">
        <w:trPr>
          <w:trHeight w:hRule="exact" w:val="284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4 832,1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8 326,3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7 787,5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3 494,2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-538,8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-0,2</w:t>
            </w:r>
          </w:p>
        </w:tc>
      </w:tr>
      <w:tr w:rsidR="00CE14C5" w:rsidTr="00D47AD2">
        <w:trPr>
          <w:trHeight w:hRule="exact" w:val="284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269,3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269,3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157,3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-112,0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83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2271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1 402,8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3 112,8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3 052,4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1 710,0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-60,4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84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2272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229,1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229,1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164,1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-65,0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83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2273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4 656,8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4 201,9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3 950,2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-454,9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-251,7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83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2275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-17,4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84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2282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-9,6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83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84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83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Всього:</w:t>
            </w:r>
          </w:p>
        </w:tc>
        <w:tc>
          <w:tcPr>
            <w:tcW w:w="1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332 718,7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332 718,7</w:t>
            </w: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309 228,4</w:t>
            </w:r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-23 490,3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-2,0</w:t>
            </w:r>
          </w:p>
        </w:tc>
      </w:tr>
      <w:tr w:rsidR="00CE14C5" w:rsidTr="00D47AD2">
        <w:trPr>
          <w:trHeight w:hRule="exact" w:val="142"/>
        </w:trPr>
        <w:tc>
          <w:tcPr>
            <w:tcW w:w="496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1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283"/>
        </w:trPr>
        <w:tc>
          <w:tcPr>
            <w:tcW w:w="15774" w:type="dxa"/>
            <w:gridSpan w:val="23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змін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плану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змін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підставі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пропозицій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головного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розпорядника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t xml:space="preserve"> </w:t>
            </w:r>
          </w:p>
        </w:tc>
      </w:tr>
      <w:tr w:rsidR="00CE14C5" w:rsidTr="00D47AD2">
        <w:trPr>
          <w:trHeight w:hRule="exact" w:val="283"/>
        </w:trPr>
        <w:tc>
          <w:tcPr>
            <w:tcW w:w="15774" w:type="dxa"/>
            <w:gridSpan w:val="23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Пояснення щодо відхилень:</w:t>
            </w:r>
          </w:p>
        </w:tc>
      </w:tr>
      <w:tr w:rsidR="00CE14C5" w:rsidTr="00D47AD2">
        <w:trPr>
          <w:trHeight w:hRule="exact" w:val="33"/>
        </w:trPr>
        <w:tc>
          <w:tcPr>
            <w:tcW w:w="15774" w:type="dxa"/>
            <w:gridSpan w:val="23"/>
            <w:vMerge w:val="restart"/>
            <w:tcMar>
              <w:left w:w="34" w:type="dxa"/>
              <w:right w:w="34" w:type="dxa"/>
            </w:tcMar>
            <w:vAlign w:val="bottom"/>
          </w:tcPr>
          <w:p w:rsidR="00CE14C5" w:rsidRDefault="00D47AD2" w:rsidP="0038106D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 плану зі змінами від плану на початок року пояснюється унесенням змін до розпису асигнувань та спрямуванням економії за видатками на оплату винагороди суддів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Суду (КЕКВ 2113) та</w:t>
            </w:r>
            <w:r w:rsidR="000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видатками на оплату електроенергії (КЕКВ 2273) на заходи з ліквідації наслідків масованої атаки рф (ворожий обстріл столиці 28 серпня 2025 року) 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 ремонтних робіт із відновлення пошкодженого майна (КЕКВ 2240) та найбільш пріоритетні незабезпечені потреби (заробітна плата (КЕКВ 2111), нарахування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оплату праці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(КЕКВ 2120), оплата теплопостачання (КЕКВ 2271), переплетення архівних справ (КЕКВ 2240) тощо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цілому за бюджетною програмою зміни збалансовані.</w:t>
            </w:r>
          </w:p>
        </w:tc>
      </w:tr>
      <w:tr w:rsidR="00CE14C5" w:rsidTr="00D47AD2">
        <w:trPr>
          <w:trHeight w:hRule="exact" w:val="1162"/>
        </w:trPr>
        <w:tc>
          <w:tcPr>
            <w:tcW w:w="15774" w:type="dxa"/>
            <w:gridSpan w:val="23"/>
            <w:vMerge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14C5" w:rsidTr="00D47AD2">
        <w:trPr>
          <w:trHeight w:hRule="exact" w:val="505"/>
        </w:trPr>
        <w:tc>
          <w:tcPr>
            <w:tcW w:w="15774" w:type="dxa"/>
            <w:gridSpan w:val="23"/>
            <w:tcMar>
              <w:left w:w="34" w:type="dxa"/>
              <w:right w:w="34" w:type="dxa"/>
            </w:tcMar>
            <w:vAlign w:val="bottom"/>
          </w:tcPr>
          <w:p w:rsidR="00CE14C5" w:rsidRDefault="00D47AD2" w:rsidP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 касових видатків від планових призначень за результатами 2025 року за загальним фондом державного бюджету за напрямом "Забезпечення виконання функцій 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завдань Конституційного Суду України" можна пояснити таким:</w:t>
            </w:r>
          </w:p>
        </w:tc>
      </w:tr>
      <w:tr w:rsidR="00CE14C5" w:rsidTr="00D47AD2">
        <w:trPr>
          <w:trHeight w:hRule="exact" w:val="505"/>
        </w:trPr>
        <w:tc>
          <w:tcPr>
            <w:tcW w:w="15774" w:type="dxa"/>
            <w:gridSpan w:val="23"/>
            <w:tcMar>
              <w:left w:w="34" w:type="dxa"/>
              <w:right w:w="34" w:type="dxa"/>
            </w:tcMar>
            <w:vAlign w:val="bottom"/>
          </w:tcPr>
          <w:p w:rsidR="00CE14C5" w:rsidRDefault="00D47AD2" w:rsidP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економією, що утворилась в частині видатків на оплату праці праці (КЕКВ 2113, 2120) внаслідок наявності вакансій суддів Суду (із початку 2025 року - 7 посад, станом на 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грудня 2025 року вакантні 5 посад суддів Суду);</w:t>
            </w:r>
          </w:p>
        </w:tc>
      </w:tr>
      <w:tr w:rsidR="00CE14C5" w:rsidTr="00D47AD2">
        <w:trPr>
          <w:trHeight w:hRule="exact" w:val="505"/>
        </w:trPr>
        <w:tc>
          <w:tcPr>
            <w:tcW w:w="15774" w:type="dxa"/>
            <w:gridSpan w:val="23"/>
            <w:tcMar>
              <w:left w:w="34" w:type="dxa"/>
              <w:right w:w="34" w:type="dxa"/>
            </w:tcMar>
            <w:vAlign w:val="bottom"/>
          </w:tcPr>
          <w:p w:rsidR="00CE14C5" w:rsidRDefault="00D47AD2" w:rsidP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економією бюджетних коштів, передбачених на відрядження (у зв'язку з продовженням воєнного стану в Україні багато міжнародних зустрічей проводили в онлайн форматі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 витрати, пов'язані з відрядженнями (транспортні, проживання та харчування), брала на себе сторона, що приймала) (КЕКВ 2250);</w:t>
            </w:r>
          </w:p>
        </w:tc>
      </w:tr>
      <w:tr w:rsidR="00CE14C5" w:rsidTr="00BB7705">
        <w:trPr>
          <w:trHeight w:hRule="exact" w:val="2102"/>
        </w:trPr>
        <w:tc>
          <w:tcPr>
            <w:tcW w:w="15774" w:type="dxa"/>
            <w:gridSpan w:val="23"/>
            <w:tcMar>
              <w:left w:w="34" w:type="dxa"/>
              <w:right w:w="34" w:type="dxa"/>
            </w:tcMar>
            <w:vAlign w:val="bottom"/>
          </w:tcPr>
          <w:p w:rsidR="00CE14C5" w:rsidRDefault="00D47AD2" w:rsidP="00057274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економією видатків на оплату комунальних послуг та енергоносіїв, яка виникла за результатами вжиття заходів з енергозбереження згідно із затвердженим керівником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Секретаріату Суду Планом заходів з енергозбереження для зменшення витрат на оплату комунальних послуг та енергоносіїв на 2025 рік, а саме:  економія теплової енергії</w:t>
            </w:r>
            <w:r w:rsidR="000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завдяки зменшенню подачі до адміністративної будівлі Суду у неробочий час та за сприятливих погодних умов; введено заборону на використання електричних нагрівачів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приміщеннях Суду (за умови належного функціонування системи центрального опалення) та утеплення кабінетів працівників Суду (регулювання чи заклеювання вікон, у яких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спостерігалися протяги повітря); обмежено використання системи поливального водопроводу та здійснення заходів постійного контролю за роботою регуляторів тиску задля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економного використання води; економія електроенергії завдяки скороченню тривалості роботи трьох холодильних машин та вузлів вентиляційної системи у літній період,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 ліфтів за графіком, припиненню використання кондиціонерів відповідно до розпорядження Кабінету Міністрів України від 7 червня 2024 року № 510- р, окрім роботи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критично важливих для роботи суду приміщеннях, застосування енергоефективних освітлюючих приладів (світлодіодних), забезпечення використання комп’ютерної техніки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режимі очікування з низьким споживанням електроенергії, тощо; тариф на послуги з вивезення твердих побутових відходів у 2025 році не змінювався, це також призвело 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економії коштів (КЕКВ 2271, 2272, 2273, 2275);</w:t>
            </w:r>
          </w:p>
        </w:tc>
      </w:tr>
      <w:tr w:rsidR="00CE14C5" w:rsidTr="00D47AD2">
        <w:trPr>
          <w:trHeight w:hRule="exact" w:val="474"/>
        </w:trPr>
        <w:tc>
          <w:tcPr>
            <w:tcW w:w="49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8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8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E14C5" w:rsidRDefault="00CE14C5">
      <w:pPr>
        <w:sectPr w:rsidR="00CE14C5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956"/>
        <w:gridCol w:w="1610"/>
        <w:gridCol w:w="2097"/>
        <w:gridCol w:w="871"/>
        <w:gridCol w:w="1095"/>
        <w:gridCol w:w="125"/>
        <w:gridCol w:w="1582"/>
        <w:gridCol w:w="395"/>
        <w:gridCol w:w="123"/>
        <w:gridCol w:w="1186"/>
        <w:gridCol w:w="908"/>
        <w:gridCol w:w="792"/>
        <w:gridCol w:w="1306"/>
        <w:gridCol w:w="403"/>
        <w:gridCol w:w="199"/>
        <w:gridCol w:w="1509"/>
      </w:tblGrid>
      <w:tr w:rsidR="00CE14C5" w:rsidTr="00D47AD2">
        <w:trPr>
          <w:trHeight w:hRule="exact" w:val="735"/>
        </w:trPr>
        <w:tc>
          <w:tcPr>
            <w:tcW w:w="15774" w:type="dxa"/>
            <w:gridSpan w:val="17"/>
            <w:tcMar>
              <w:left w:w="34" w:type="dxa"/>
              <w:right w:w="34" w:type="dxa"/>
            </w:tcMar>
            <w:vAlign w:val="bottom"/>
          </w:tcPr>
          <w:p w:rsidR="00CE14C5" w:rsidRDefault="00D47AD2" w:rsidP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bookmarkStart w:id="3" w:name="4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економією в результаті проведення процедур закупівель відповідно до постанови Кабінету Міністрів України "Про затвердження особливостей здійснення публічних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закупівель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днів з дня його припинення або скасування" від 12 жовтня 2022 року № 1178 зі змінами (КЕКВ 2240);</w:t>
            </w:r>
          </w:p>
        </w:tc>
      </w:tr>
      <w:tr w:rsidR="00CE14C5" w:rsidTr="00D47AD2">
        <w:trPr>
          <w:trHeight w:hRule="exact" w:val="505"/>
        </w:trPr>
        <w:tc>
          <w:tcPr>
            <w:tcW w:w="15774" w:type="dxa"/>
            <w:gridSpan w:val="17"/>
            <w:tcMar>
              <w:left w:w="34" w:type="dxa"/>
              <w:right w:w="34" w:type="dxa"/>
            </w:tcMar>
            <w:vAlign w:val="bottom"/>
          </w:tcPr>
          <w:p w:rsidR="00CE14C5" w:rsidRDefault="00D47AD2" w:rsidP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економією коштів, запланованих на підвищення кваліфікації працівників Суду у зв'язку з тим, що навчання пройшла менша кількість осіб від запланованої кількості серед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 Автобази Суду, а також у Секретаріаті Суду (посада, за якою планували навчання з пожежної безпеки - вакантна) (КЕКВ 2282);</w:t>
            </w:r>
          </w:p>
        </w:tc>
      </w:tr>
      <w:tr w:rsidR="00CE14C5" w:rsidTr="00D47AD2">
        <w:trPr>
          <w:trHeight w:hRule="exact" w:val="275"/>
        </w:trPr>
        <w:tc>
          <w:tcPr>
            <w:tcW w:w="15774" w:type="dxa"/>
            <w:gridSpan w:val="1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економією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коштів, запланованих для сплати судового збору (КЕКВ 2800) у справах, розгляд яких перенесено на 2026 рік.</w:t>
            </w:r>
          </w:p>
        </w:tc>
      </w:tr>
      <w:tr w:rsidR="00CE14C5" w:rsidTr="00D47AD2">
        <w:trPr>
          <w:trHeight w:hRule="exact" w:val="505"/>
        </w:trPr>
        <w:tc>
          <w:tcPr>
            <w:tcW w:w="15774" w:type="dxa"/>
            <w:gridSpan w:val="17"/>
            <w:tcMar>
              <w:left w:w="34" w:type="dxa"/>
              <w:right w:w="34" w:type="dxa"/>
            </w:tcMar>
            <w:vAlign w:val="bottom"/>
          </w:tcPr>
          <w:p w:rsidR="00CE14C5" w:rsidRDefault="00D47AD2" w:rsidP="0038106D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спеціальним фондом державного бюджету відхилення у сумі 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це невикористані бюджетні призначення, які було заплановано на 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діагностику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офісної техніки 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картриджів.</w:t>
            </w:r>
          </w:p>
        </w:tc>
      </w:tr>
      <w:tr w:rsidR="00CE14C5" w:rsidTr="00D47AD2">
        <w:trPr>
          <w:trHeight w:hRule="exact" w:val="142"/>
        </w:trPr>
        <w:tc>
          <w:tcPr>
            <w:tcW w:w="551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05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283"/>
        </w:trPr>
        <w:tc>
          <w:tcPr>
            <w:tcW w:w="13658" w:type="dxa"/>
            <w:gridSpan w:val="14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Стан фінансової дисципліни</w:t>
            </w:r>
          </w:p>
        </w:tc>
        <w:tc>
          <w:tcPr>
            <w:tcW w:w="2116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284"/>
        </w:trPr>
        <w:tc>
          <w:tcPr>
            <w:tcW w:w="551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05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2104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2116" w:type="dxa"/>
            <w:gridSpan w:val="3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(тис грн)</w:t>
            </w:r>
          </w:p>
        </w:tc>
      </w:tr>
      <w:tr w:rsidR="00CE14C5" w:rsidTr="00D47AD2">
        <w:trPr>
          <w:trHeight w:hRule="exact" w:val="283"/>
        </w:trPr>
        <w:tc>
          <w:tcPr>
            <w:tcW w:w="31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КЕКВ / ККК</w:t>
            </w:r>
          </w:p>
        </w:tc>
        <w:tc>
          <w:tcPr>
            <w:tcW w:w="63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Кредиторська заборгованість</w:t>
            </w:r>
          </w:p>
        </w:tc>
      </w:tr>
      <w:tr w:rsidR="00CE14C5" w:rsidTr="00D47AD2">
        <w:trPr>
          <w:trHeight w:hRule="exact" w:val="283"/>
        </w:trPr>
        <w:tc>
          <w:tcPr>
            <w:tcW w:w="31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початок</w:t>
            </w:r>
          </w:p>
          <w:p w:rsidR="00CE14C5" w:rsidRDefault="00D47AD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звітного року</w:t>
            </w:r>
          </w:p>
        </w:tc>
        <w:tc>
          <w:tcPr>
            <w:tcW w:w="42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початок</w:t>
            </w:r>
          </w:p>
          <w:p w:rsidR="00CE14C5" w:rsidRDefault="00D47AD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звітного року</w:t>
            </w:r>
          </w:p>
        </w:tc>
        <w:tc>
          <w:tcPr>
            <w:tcW w:w="42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 кінець звітного року</w:t>
            </w:r>
          </w:p>
        </w:tc>
      </w:tr>
      <w:tr w:rsidR="00CE14C5" w:rsidTr="00D47AD2">
        <w:trPr>
          <w:trHeight w:hRule="exact" w:val="284"/>
        </w:trPr>
        <w:tc>
          <w:tcPr>
            <w:tcW w:w="31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 неї прострочена</w:t>
            </w:r>
          </w:p>
        </w:tc>
        <w:tc>
          <w:tcPr>
            <w:tcW w:w="21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 неї прострочена</w:t>
            </w:r>
          </w:p>
        </w:tc>
      </w:tr>
      <w:tr w:rsidR="00CE14C5" w:rsidTr="00D47AD2">
        <w:trPr>
          <w:trHeight w:hRule="exact" w:val="284"/>
        </w:trPr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E14C5" w:rsidTr="00D47AD2">
        <w:trPr>
          <w:trHeight w:hRule="exact" w:val="267"/>
        </w:trPr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2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2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67"/>
        </w:trPr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2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2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67"/>
        </w:trPr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2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2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83"/>
        </w:trPr>
        <w:tc>
          <w:tcPr>
            <w:tcW w:w="15774" w:type="dxa"/>
            <w:gridSpan w:val="1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 w:rsidR="00CE14C5" w:rsidTr="00D47AD2">
        <w:trPr>
          <w:trHeight w:hRule="exact" w:val="33"/>
        </w:trPr>
        <w:tc>
          <w:tcPr>
            <w:tcW w:w="15774" w:type="dxa"/>
            <w:gridSpan w:val="17"/>
            <w:vMerge w:val="restart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Кредиторської заборгованості за загальним фондом державного бюджету на кінець 2025 року немає.</w:t>
            </w:r>
          </w:p>
        </w:tc>
      </w:tr>
      <w:tr w:rsidR="00CE14C5" w:rsidTr="00D47AD2">
        <w:trPr>
          <w:trHeight w:hRule="exact" w:val="242"/>
        </w:trPr>
        <w:tc>
          <w:tcPr>
            <w:tcW w:w="15774" w:type="dxa"/>
            <w:gridSpan w:val="17"/>
            <w:vMerge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14C5" w:rsidTr="00D47AD2">
        <w:trPr>
          <w:trHeight w:hRule="exact" w:val="505"/>
        </w:trPr>
        <w:tc>
          <w:tcPr>
            <w:tcW w:w="15774" w:type="dxa"/>
            <w:gridSpan w:val="1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Дебіторська заборгованість за загальним фондом державного бюджету на кінець звітного періоду збільшилась і зареєстрована за КЕКВ 2210 - це передплата періодичних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видань на 2026 рік відповідно до постанови Кабінету Міністрів України від 04 грудня 2019 року № 1070 (зі змінами).</w:t>
            </w:r>
          </w:p>
        </w:tc>
      </w:tr>
      <w:tr w:rsidR="00CE14C5" w:rsidTr="00D47AD2">
        <w:trPr>
          <w:trHeight w:hRule="exact" w:val="275"/>
        </w:trPr>
        <w:tc>
          <w:tcPr>
            <w:tcW w:w="15774" w:type="dxa"/>
            <w:gridSpan w:val="1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спеціальним фондом державного бюджету кредиторської та дебіторської заборгованостей немає.</w:t>
            </w:r>
          </w:p>
        </w:tc>
      </w:tr>
      <w:tr w:rsidR="00CE14C5" w:rsidTr="00D47AD2">
        <w:trPr>
          <w:trHeight w:hRule="exact" w:val="142"/>
        </w:trPr>
        <w:tc>
          <w:tcPr>
            <w:tcW w:w="551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665" w:type="dxa"/>
            <w:gridSpan w:val="5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283"/>
        </w:trPr>
        <w:tc>
          <w:tcPr>
            <w:tcW w:w="15774" w:type="dxa"/>
            <w:gridSpan w:val="1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 Результативні показники</w:t>
            </w:r>
          </w:p>
        </w:tc>
      </w:tr>
      <w:tr w:rsidR="00CE14C5" w:rsidTr="00D47AD2">
        <w:trPr>
          <w:trHeight w:hRule="exact" w:val="316"/>
        </w:trPr>
        <w:tc>
          <w:tcPr>
            <w:tcW w:w="15774" w:type="dxa"/>
            <w:gridSpan w:val="1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7.1. Результативні показники бюджетної програми за звітний період</w:t>
            </w:r>
          </w:p>
        </w:tc>
      </w:tr>
      <w:tr w:rsidR="00CE14C5" w:rsidTr="00D47AD2">
        <w:trPr>
          <w:trHeight w:hRule="exact" w:val="170"/>
        </w:trPr>
        <w:tc>
          <w:tcPr>
            <w:tcW w:w="551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665" w:type="dxa"/>
            <w:gridSpan w:val="5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  <w:tc>
          <w:tcPr>
            <w:tcW w:w="1713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</w:tr>
      <w:tr w:rsidR="00CE14C5" w:rsidTr="00D47AD2">
        <w:trPr>
          <w:trHeight w:hRule="exact" w:val="851"/>
        </w:trPr>
        <w:tc>
          <w:tcPr>
            <w:tcW w:w="72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 зі змінами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</w:t>
            </w:r>
          </w:p>
          <w:p w:rsidR="00CE14C5" w:rsidRDefault="00D47AD2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плану зі змінами</w:t>
            </w:r>
          </w:p>
          <w:p w:rsidR="00CE14C5" w:rsidRDefault="00D47AD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 плану (+/-)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</w:t>
            </w:r>
          </w:p>
          <w:p w:rsidR="00CE14C5" w:rsidRDefault="00D47AD2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факту від плану</w:t>
            </w:r>
          </w:p>
          <w:p w:rsidR="00CE14C5" w:rsidRDefault="00D47AD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зі змінами (+/-)</w:t>
            </w:r>
          </w:p>
        </w:tc>
      </w:tr>
      <w:tr w:rsidR="00CE14C5" w:rsidTr="00D47AD2">
        <w:trPr>
          <w:trHeight w:hRule="exact" w:val="284"/>
        </w:trPr>
        <w:tc>
          <w:tcPr>
            <w:tcW w:w="72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E14C5" w:rsidTr="00D47AD2">
        <w:trPr>
          <w:trHeight w:hRule="exact" w:val="251"/>
        </w:trPr>
        <w:tc>
          <w:tcPr>
            <w:tcW w:w="55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2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8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1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14C5" w:rsidTr="00D47AD2">
        <w:trPr>
          <w:trHeight w:hRule="exact" w:val="267"/>
        </w:trPr>
        <w:tc>
          <w:tcPr>
            <w:tcW w:w="1577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Забезпечення виконання функцій та завдань Конституційного Суду України</w:t>
            </w:r>
          </w:p>
        </w:tc>
      </w:tr>
      <w:tr w:rsidR="00CE14C5" w:rsidTr="00D47AD2">
        <w:trPr>
          <w:trHeight w:hRule="exact" w:val="267"/>
        </w:trPr>
        <w:tc>
          <w:tcPr>
            <w:tcW w:w="72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штатних одиниць - всього: (осіб)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357,0</w:t>
            </w:r>
          </w:p>
        </w:tc>
        <w:tc>
          <w:tcPr>
            <w:tcW w:w="1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357,0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-47,0</w:t>
            </w:r>
          </w:p>
        </w:tc>
      </w:tr>
      <w:tr w:rsidR="00CE14C5" w:rsidTr="00D47AD2">
        <w:trPr>
          <w:trHeight w:hRule="exact" w:val="267"/>
        </w:trPr>
        <w:tc>
          <w:tcPr>
            <w:tcW w:w="72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 них - судді (осіб)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-5,0</w:t>
            </w:r>
          </w:p>
        </w:tc>
      </w:tr>
      <w:tr w:rsidR="00CE14C5" w:rsidTr="00D47AD2">
        <w:trPr>
          <w:trHeight w:hRule="exact" w:val="267"/>
        </w:trPr>
        <w:tc>
          <w:tcPr>
            <w:tcW w:w="72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працівники Секретаріату Конституційного Суду України (осіб)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-37,0</w:t>
            </w:r>
          </w:p>
        </w:tc>
      </w:tr>
      <w:tr w:rsidR="00CE14C5" w:rsidTr="00D47AD2">
        <w:trPr>
          <w:trHeight w:hRule="exact" w:val="267"/>
        </w:trPr>
        <w:tc>
          <w:tcPr>
            <w:tcW w:w="72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працівники державної організації "Автобаза Конституційного Суду України" (осіб)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7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-5,0</w:t>
            </w:r>
          </w:p>
        </w:tc>
      </w:tr>
      <w:tr w:rsidR="00CE14C5" w:rsidTr="00D47AD2">
        <w:trPr>
          <w:trHeight w:hRule="exact" w:val="291"/>
        </w:trPr>
        <w:tc>
          <w:tcPr>
            <w:tcW w:w="55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2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0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8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1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E14C5" w:rsidRDefault="00CE14C5">
      <w:pPr>
        <w:sectPr w:rsidR="00CE14C5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4567"/>
        <w:gridCol w:w="1097"/>
        <w:gridCol w:w="1703"/>
        <w:gridCol w:w="395"/>
        <w:gridCol w:w="1308"/>
        <w:gridCol w:w="1704"/>
        <w:gridCol w:w="1702"/>
        <w:gridCol w:w="198"/>
        <w:gridCol w:w="1506"/>
      </w:tblGrid>
      <w:tr w:rsidR="00CE14C5" w:rsidTr="00D47AD2">
        <w:trPr>
          <w:trHeight w:hRule="exact" w:val="481"/>
        </w:trPr>
        <w:tc>
          <w:tcPr>
            <w:tcW w:w="7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bookmarkStart w:id="4" w:name="5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Кількість проведених засідань та пленарних засідань Великої палати з розгляду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конституційних скарг, конституційних подань та конституційних звернень (одиниць)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205,0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205,0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-100,0</w:t>
            </w:r>
          </w:p>
        </w:tc>
      </w:tr>
      <w:tr w:rsidR="00CE14C5" w:rsidTr="00D47AD2">
        <w:trPr>
          <w:trHeight w:hRule="exact" w:val="481"/>
        </w:trPr>
        <w:tc>
          <w:tcPr>
            <w:tcW w:w="7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проведених засідань та пленарних засідань сенатів з розгляду питань щодо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відкриття конституційного провадження у справі (одиниць)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227,0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227,0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237,0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</w:tr>
      <w:tr w:rsidR="00CE14C5" w:rsidTr="00D47AD2">
        <w:trPr>
          <w:trHeight w:hRule="exact" w:val="482"/>
        </w:trPr>
        <w:tc>
          <w:tcPr>
            <w:tcW w:w="7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засідань колегій суддів з розгляду конституційних скарг, конституційних подань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 конституційних звернень (одиниць)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123,0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</w:tr>
      <w:tr w:rsidR="00CE14C5" w:rsidTr="00D47AD2">
        <w:trPr>
          <w:trHeight w:hRule="exact" w:val="688"/>
        </w:trPr>
        <w:tc>
          <w:tcPr>
            <w:tcW w:w="7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Ухвалено актів (висновків, рішень, ухвал за конституційними скаргами, конституційними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поданнями, конституційними зверненнями) Конституційним Судом України (Великою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палатою, сенатами) (одиниць)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356,0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356,0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305,0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-51,0</w:t>
            </w:r>
          </w:p>
        </w:tc>
      </w:tr>
      <w:tr w:rsidR="00CE14C5" w:rsidTr="00D47AD2">
        <w:trPr>
          <w:trHeight w:hRule="exact" w:val="688"/>
        </w:trPr>
        <w:tc>
          <w:tcPr>
            <w:tcW w:w="7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Постановлено ухвал колегіями суддів Конституційного Суду України за конституційними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скаргами, конституційними поданнями та конституційними зверненнями (одиниць)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219,0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219,0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</w:tr>
      <w:tr w:rsidR="00CE14C5" w:rsidTr="00D47AD2">
        <w:trPr>
          <w:trHeight w:hRule="exact" w:val="482"/>
        </w:trPr>
        <w:tc>
          <w:tcPr>
            <w:tcW w:w="7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Питома вага конституційних скарг, розглянутих у встановлений законодавством строк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(відсотків)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-20,0</w:t>
            </w:r>
          </w:p>
        </w:tc>
      </w:tr>
      <w:tr w:rsidR="00CE14C5" w:rsidTr="00D47AD2">
        <w:trPr>
          <w:trHeight w:hRule="exact" w:val="482"/>
        </w:trPr>
        <w:tc>
          <w:tcPr>
            <w:tcW w:w="7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Питома вага конституційних подань, розглянутих у встановлений законодавством строк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(відсотків)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-84,0</w:t>
            </w:r>
          </w:p>
        </w:tc>
      </w:tr>
      <w:tr w:rsidR="00CE14C5" w:rsidTr="00D47AD2">
        <w:trPr>
          <w:trHeight w:hRule="exact" w:val="482"/>
        </w:trPr>
        <w:tc>
          <w:tcPr>
            <w:tcW w:w="7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Питома вага конституційних звернень, розглянутих у встановлений законодавством строк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(відсотків)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-100,0</w:t>
            </w:r>
          </w:p>
        </w:tc>
      </w:tr>
      <w:tr w:rsidR="00CE14C5" w:rsidTr="00D47AD2">
        <w:trPr>
          <w:trHeight w:hRule="exact" w:val="267"/>
        </w:trPr>
        <w:tc>
          <w:tcPr>
            <w:tcW w:w="7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Частка чоловіків на посадах державної служби категорій „А“ та „Б“ (відсотків)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-1,0</w:t>
            </w:r>
          </w:p>
        </w:tc>
      </w:tr>
      <w:tr w:rsidR="00CE14C5" w:rsidTr="00D47AD2">
        <w:trPr>
          <w:trHeight w:hRule="exact" w:val="252"/>
        </w:trPr>
        <w:tc>
          <w:tcPr>
            <w:tcW w:w="15774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результатів</w:t>
            </w:r>
            <w:r>
              <w:t xml:space="preserve"> </w:t>
            </w:r>
          </w:p>
        </w:tc>
      </w:tr>
      <w:tr w:rsidR="00CE14C5" w:rsidTr="00D47AD2">
        <w:trPr>
          <w:trHeight w:hRule="exact" w:val="252"/>
        </w:trPr>
        <w:tc>
          <w:tcPr>
            <w:tcW w:w="15774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 w:rsidP="003C5130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показники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протягом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змінювали.</w:t>
            </w:r>
            <w:r>
              <w:t xml:space="preserve"> </w:t>
            </w:r>
          </w:p>
        </w:tc>
      </w:tr>
      <w:tr w:rsidR="00CE14C5" w:rsidTr="00D47AD2">
        <w:trPr>
          <w:trHeight w:hRule="exact" w:val="459"/>
        </w:trPr>
        <w:tc>
          <w:tcPr>
            <w:tcW w:w="15774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Відхилення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чисельності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затвердженої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пояснюється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наявністю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вакантних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од.)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патронатних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од.),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вакантних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державних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службовців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Секретаріату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од.),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фахівців,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виконують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обслуговування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од.)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Автобази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од.).</w:t>
            </w:r>
            <w:r>
              <w:t xml:space="preserve"> </w:t>
            </w:r>
          </w:p>
        </w:tc>
      </w:tr>
      <w:tr w:rsidR="00CE14C5" w:rsidTr="00D47AD2">
        <w:trPr>
          <w:trHeight w:hRule="exact" w:val="459"/>
        </w:trPr>
        <w:tc>
          <w:tcPr>
            <w:tcW w:w="15774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повному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обсязі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деяких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затвердженого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ухвалених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зумовлено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наявністю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вакантних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початок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вакантних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вересня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постійно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працював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повноважності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засідань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(кворум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суддів).</w:t>
            </w:r>
            <w:r>
              <w:t xml:space="preserve"> </w:t>
            </w:r>
          </w:p>
        </w:tc>
      </w:tr>
      <w:tr w:rsidR="00CE14C5" w:rsidTr="00D47AD2">
        <w:trPr>
          <w:trHeight w:hRule="exact" w:val="666"/>
        </w:trPr>
        <w:tc>
          <w:tcPr>
            <w:tcW w:w="15774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Збільшення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засідань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пленарних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засідань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сенатів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засідань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колегій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відбулося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зв'язку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заповненням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вакантних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можливість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працювати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колегіям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сенатам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повному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обсязі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повноважність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їх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засідань.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Натомість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зменшення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засідань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пленарних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засідань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Великої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палати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зумовлено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неповноважністю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таких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засідань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протягом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лютого-липня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року.</w:t>
            </w:r>
            <w:r>
              <w:t xml:space="preserve"> </w:t>
            </w:r>
          </w:p>
        </w:tc>
      </w:tr>
      <w:tr w:rsidR="00CE14C5" w:rsidTr="00D47AD2">
        <w:trPr>
          <w:trHeight w:hRule="exact" w:val="1080"/>
        </w:trPr>
        <w:tc>
          <w:tcPr>
            <w:tcW w:w="15774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Відповідно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"Про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України"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засідання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великої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палати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є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повноважним,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якщо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ньому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присутні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щонайменше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протягом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лютого-травня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працював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унеможливлювало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засідань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Великої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палати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Згідно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абзацом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третім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сенат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розглядає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щонайменше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шести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лютому-травні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сенату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перебувало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свідчить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неповноважність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сенату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період.</w:t>
            </w:r>
            <w:proofErr w:type="gram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Водночас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збільшилась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надходжень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скарг,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зумовило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збільшення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ухвал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колегіями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скаргами.</w:t>
            </w:r>
            <w:r>
              <w:t xml:space="preserve"> </w:t>
            </w:r>
          </w:p>
        </w:tc>
      </w:tr>
      <w:tr w:rsidR="00CE14C5" w:rsidTr="00D47AD2">
        <w:trPr>
          <w:trHeight w:hRule="exact" w:val="252"/>
        </w:trPr>
        <w:tc>
          <w:tcPr>
            <w:tcW w:w="15774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державної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"А"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"Б"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зайняті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зайнятих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посадах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цієї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працюють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чоловіків,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становить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34%.</w:t>
            </w:r>
            <w:r>
              <w:t xml:space="preserve"> </w:t>
            </w:r>
          </w:p>
        </w:tc>
      </w:tr>
      <w:tr w:rsidR="00CE14C5" w:rsidTr="00D47AD2">
        <w:trPr>
          <w:trHeight w:hRule="exact" w:val="267"/>
        </w:trPr>
        <w:tc>
          <w:tcPr>
            <w:tcW w:w="157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Підвищення кваліфікації працівників Конституційного Суду України</w:t>
            </w:r>
          </w:p>
        </w:tc>
      </w:tr>
      <w:tr w:rsidR="00CE14C5" w:rsidTr="00D47AD2">
        <w:trPr>
          <w:trHeight w:hRule="exact" w:val="267"/>
        </w:trPr>
        <w:tc>
          <w:tcPr>
            <w:tcW w:w="7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працівників, які підвищили кваліфікацію (одиниць)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-3,0</w:t>
            </w:r>
          </w:p>
        </w:tc>
      </w:tr>
      <w:tr w:rsidR="00CE14C5" w:rsidTr="00D47AD2">
        <w:trPr>
          <w:trHeight w:hRule="exact" w:val="267"/>
        </w:trPr>
        <w:tc>
          <w:tcPr>
            <w:tcW w:w="7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Середні витрати на підвищення кваліфікації 1 працівника (тис. гривень)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-0,2</w:t>
            </w:r>
          </w:p>
        </w:tc>
      </w:tr>
      <w:tr w:rsidR="00CE14C5" w:rsidTr="00D47AD2">
        <w:trPr>
          <w:trHeight w:hRule="exact" w:val="252"/>
        </w:trPr>
        <w:tc>
          <w:tcPr>
            <w:tcW w:w="15774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CE14C5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</w:p>
        </w:tc>
      </w:tr>
      <w:tr w:rsidR="00CE14C5" w:rsidTr="00D47AD2">
        <w:trPr>
          <w:trHeight w:hRule="exact" w:val="251"/>
        </w:trPr>
        <w:tc>
          <w:tcPr>
            <w:tcW w:w="151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9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E14C5" w:rsidRDefault="00CE14C5">
      <w:pPr>
        <w:sectPr w:rsidR="00CE14C5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706"/>
        <w:gridCol w:w="114"/>
        <w:gridCol w:w="4573"/>
        <w:gridCol w:w="1099"/>
        <w:gridCol w:w="2099"/>
        <w:gridCol w:w="735"/>
        <w:gridCol w:w="2833"/>
        <w:gridCol w:w="1327"/>
        <w:gridCol w:w="1508"/>
      </w:tblGrid>
      <w:tr w:rsidR="00CE14C5" w:rsidTr="00427F0D">
        <w:trPr>
          <w:trHeight w:hRule="exact" w:val="273"/>
        </w:trPr>
        <w:tc>
          <w:tcPr>
            <w:tcW w:w="15774" w:type="dxa"/>
            <w:gridSpan w:val="10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427F0D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bookmarkStart w:id="5" w:name="6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результатів</w:t>
            </w:r>
          </w:p>
        </w:tc>
      </w:tr>
      <w:tr w:rsidR="00427F0D" w:rsidTr="00D47AD2">
        <w:trPr>
          <w:trHeight w:hRule="exact" w:val="459"/>
        </w:trPr>
        <w:tc>
          <w:tcPr>
            <w:tcW w:w="15774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Підвищення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кваліфікації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пройшли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Секретаріату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військового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обліку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також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Автобази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осіб.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Навчання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пройшла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менша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осіб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серед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Автобази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також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Секретаріаті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(посада,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якою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планували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навчання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пожежної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безпеки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вакантна).</w:t>
            </w:r>
            <w:r>
              <w:t xml:space="preserve"> </w:t>
            </w:r>
          </w:p>
        </w:tc>
      </w:tr>
      <w:tr w:rsidR="00427F0D" w:rsidTr="00D47AD2">
        <w:trPr>
          <w:trHeight w:hRule="exact" w:val="459"/>
        </w:trPr>
        <w:tc>
          <w:tcPr>
            <w:tcW w:w="15774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Державним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службовцям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Секретаріату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було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рекомендовано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самостійно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підвищувати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кваліфікацію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які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пропонують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провайдери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освітніх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послуг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сфері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професійного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навчання.</w:t>
            </w:r>
            <w:r>
              <w:t xml:space="preserve"> </w:t>
            </w:r>
          </w:p>
        </w:tc>
      </w:tr>
      <w:tr w:rsidR="00427F0D" w:rsidTr="00D47AD2">
        <w:trPr>
          <w:trHeight w:hRule="exact" w:val="252"/>
        </w:trPr>
        <w:tc>
          <w:tcPr>
            <w:tcW w:w="15774" w:type="dxa"/>
            <w:gridSpan w:val="10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державні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службовці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Секретаріату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виконали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індивідуальні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професійного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розвитку.</w:t>
            </w:r>
            <w:r>
              <w:t xml:space="preserve"> </w:t>
            </w:r>
          </w:p>
        </w:tc>
      </w:tr>
      <w:tr w:rsidR="00427F0D" w:rsidTr="00D47AD2">
        <w:trPr>
          <w:trHeight w:hRule="exact" w:val="252"/>
        </w:trPr>
        <w:tc>
          <w:tcPr>
            <w:tcW w:w="15774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Відхилення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середнього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обсягу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витрат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підвищення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кваліфікації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пояснюється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навчання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пройшла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менша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осіб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запланованої.</w:t>
            </w:r>
            <w:r>
              <w:t xml:space="preserve"> </w:t>
            </w:r>
          </w:p>
        </w:tc>
      </w:tr>
      <w:tr w:rsidR="00427F0D" w:rsidTr="00D47AD2">
        <w:trPr>
          <w:trHeight w:hRule="exact" w:val="142"/>
        </w:trPr>
        <w:tc>
          <w:tcPr>
            <w:tcW w:w="12926" w:type="dxa"/>
            <w:gridSpan w:val="8"/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27F0D" w:rsidTr="00D47AD2">
        <w:trPr>
          <w:trHeight w:hRule="exact" w:val="283"/>
        </w:trPr>
        <w:tc>
          <w:tcPr>
            <w:tcW w:w="12926" w:type="dxa"/>
            <w:gridSpan w:val="8"/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8" w:type="dxa"/>
            <w:gridSpan w:val="2"/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27F0D" w:rsidTr="00D47AD2">
        <w:trPr>
          <w:trHeight w:hRule="exact" w:val="142"/>
        </w:trPr>
        <w:tc>
          <w:tcPr>
            <w:tcW w:w="695" w:type="dxa"/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534" w:type="dxa"/>
            <w:gridSpan w:val="4"/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48" w:type="dxa"/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427F0D" w:rsidTr="00427F0D">
        <w:trPr>
          <w:trHeight w:hRule="exact" w:val="863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7F0D" w:rsidRDefault="00427F0D" w:rsidP="00427F0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Напрям використання бюджетних коштів</w:t>
            </w:r>
          </w:p>
          <w:p w:rsidR="00427F0D" w:rsidRDefault="00427F0D" w:rsidP="00427F0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7F0D" w:rsidRDefault="00427F0D" w:rsidP="00427F0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2024 рік</w:t>
            </w:r>
          </w:p>
          <w:p w:rsidR="00427F0D" w:rsidRDefault="00427F0D" w:rsidP="00427F0D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(факт за рік,</w:t>
            </w:r>
          </w:p>
          <w:p w:rsidR="00427F0D" w:rsidRDefault="00427F0D" w:rsidP="00427F0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7F0D" w:rsidRDefault="00427F0D" w:rsidP="00427F0D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 рік</w:t>
            </w:r>
          </w:p>
          <w:p w:rsidR="00427F0D" w:rsidRDefault="00427F0D" w:rsidP="00427F0D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Відхилення (+/-)</w:t>
            </w:r>
          </w:p>
        </w:tc>
      </w:tr>
      <w:tr w:rsidR="00427F0D" w:rsidTr="00D47AD2">
        <w:trPr>
          <w:trHeight w:hRule="exact" w:val="283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27F0D" w:rsidTr="00D47AD2">
        <w:trPr>
          <w:trHeight w:hRule="exact" w:val="267"/>
        </w:trPr>
        <w:tc>
          <w:tcPr>
            <w:tcW w:w="157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Забезпечення виконання функцій та завдань Конституційного Суду України (тис. грн)</w:t>
            </w:r>
          </w:p>
        </w:tc>
      </w:tr>
      <w:tr w:rsidR="00427F0D" w:rsidTr="00D47AD2">
        <w:trPr>
          <w:trHeight w:hRule="exact" w:val="267"/>
        </w:trPr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тому числі:</w:t>
            </w:r>
          </w:p>
        </w:tc>
        <w:tc>
          <w:tcPr>
            <w:tcW w:w="582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312 489,9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309 195,6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-3 294,3</w:t>
            </w:r>
          </w:p>
        </w:tc>
      </w:tr>
      <w:tr w:rsidR="00427F0D" w:rsidTr="00D47AD2">
        <w:trPr>
          <w:trHeight w:hRule="exact" w:val="267"/>
        </w:trPr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82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 фонд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-12,3</w:t>
            </w:r>
          </w:p>
        </w:tc>
      </w:tr>
      <w:tr w:rsidR="00427F0D" w:rsidTr="00D47AD2">
        <w:trPr>
          <w:trHeight w:hRule="exact" w:val="267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штатних одиниць - всього: (осіб)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-10,0</w:t>
            </w:r>
          </w:p>
        </w:tc>
      </w:tr>
      <w:tr w:rsidR="00427F0D" w:rsidTr="00D47AD2">
        <w:trPr>
          <w:trHeight w:hRule="exact" w:val="267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 них - судді (осіб)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-1,0</w:t>
            </w:r>
          </w:p>
        </w:tc>
      </w:tr>
      <w:tr w:rsidR="00427F0D" w:rsidTr="00D47AD2">
        <w:trPr>
          <w:trHeight w:hRule="exact" w:val="267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інші працівники (осіб)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P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306,0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P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P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-306,0</w:t>
            </w:r>
          </w:p>
        </w:tc>
      </w:tr>
      <w:tr w:rsidR="00427F0D" w:rsidTr="00D47AD2">
        <w:trPr>
          <w:trHeight w:hRule="exact" w:val="267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працівники Секретаріату Конституційного Суду України (осіб)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218,0</w:t>
            </w:r>
          </w:p>
        </w:tc>
      </w:tr>
      <w:tr w:rsidR="00427F0D" w:rsidTr="00D47AD2">
        <w:trPr>
          <w:trHeight w:hRule="exact" w:val="267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працівники державної організації "Автобаза Конституційного Суду України" (осіб)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</w:tr>
      <w:tr w:rsidR="00427F0D" w:rsidTr="00D47AD2">
        <w:trPr>
          <w:trHeight w:hRule="exact" w:val="482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проведених засідань та пленарних засідань Великої палати з розгляду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конституційних скарг, конституційних подань та конституційних звернень (одиниць)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-104,0</w:t>
            </w:r>
          </w:p>
        </w:tc>
      </w:tr>
      <w:tr w:rsidR="00427F0D" w:rsidTr="00D47AD2">
        <w:trPr>
          <w:trHeight w:hRule="exact" w:val="482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проведених засідань та пленарних засідань сенатів з розгляду питань щодо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відкриття конституційного провадження у справі (одиниць)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-70,0</w:t>
            </w:r>
          </w:p>
        </w:tc>
      </w:tr>
      <w:tr w:rsidR="00427F0D" w:rsidTr="00D47AD2">
        <w:trPr>
          <w:trHeight w:hRule="exact" w:val="481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засідань колегій суддів з розгляду конституційних скарг, конституційних подань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 конституційних звернень (одиниць)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-13,0</w:t>
            </w:r>
          </w:p>
        </w:tc>
      </w:tr>
      <w:tr w:rsidR="00427F0D" w:rsidTr="00D47AD2">
        <w:trPr>
          <w:trHeight w:hRule="exact" w:val="688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Ухвалено актів (висновків, рішень, ухвал за конституційними скаргами, конституційними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поданнями, конституційними зверненнями) Конституційним Судом України (Великою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палатою, сенатами) (одиниць)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</w:t>
            </w:r>
          </w:p>
        </w:tc>
      </w:tr>
      <w:tr w:rsidR="00427F0D" w:rsidTr="00D47AD2">
        <w:trPr>
          <w:trHeight w:hRule="exact" w:val="688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Постановлено ухвал колегіями суддів Конституційного Суду України за конституційними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скаргами, конституційними поданнями та конституційними зверненнями (одиниць)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</w:tr>
      <w:tr w:rsidR="00427F0D" w:rsidTr="00D47AD2">
        <w:trPr>
          <w:trHeight w:hRule="exact" w:val="481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Питома вага конституційних скарг, розглянутих у встановлений законодавством строк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(відсотків)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-1,0</w:t>
            </w:r>
          </w:p>
        </w:tc>
      </w:tr>
      <w:tr w:rsidR="00427F0D" w:rsidTr="00D47AD2">
        <w:trPr>
          <w:trHeight w:hRule="exact" w:val="482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Питома вага конституційних подань, розглянутих у встановлений законодавством строк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(відсотків)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</w:tr>
      <w:tr w:rsidR="00427F0D" w:rsidTr="00D47AD2">
        <w:trPr>
          <w:trHeight w:hRule="exact" w:val="481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Питома вага конституційних звернень, розглянутих у встановлений законодавством строк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(відсотків)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-1,0</w:t>
            </w:r>
          </w:p>
        </w:tc>
      </w:tr>
      <w:tr w:rsidR="00427F0D" w:rsidTr="00D47AD2">
        <w:trPr>
          <w:trHeight w:hRule="exact" w:val="267"/>
        </w:trPr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427F0D" w:rsidRDefault="00427F0D" w:rsidP="00427F0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Частка чоловіків на посадах державної служби категорій „А“ та „Б“ (відсотків)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427F0D" w:rsidRDefault="00427F0D" w:rsidP="00427F0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</w:t>
            </w:r>
          </w:p>
        </w:tc>
      </w:tr>
      <w:tr w:rsidR="00427F0D" w:rsidTr="00D47AD2">
        <w:trPr>
          <w:trHeight w:hRule="exact" w:val="50"/>
        </w:trPr>
        <w:tc>
          <w:tcPr>
            <w:tcW w:w="695" w:type="dxa"/>
          </w:tcPr>
          <w:p w:rsidR="00427F0D" w:rsidRDefault="00427F0D" w:rsidP="00427F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427F0D" w:rsidRDefault="00427F0D" w:rsidP="00427F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427F0D" w:rsidRDefault="00427F0D" w:rsidP="00427F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04" w:type="dxa"/>
          </w:tcPr>
          <w:p w:rsidR="00427F0D" w:rsidRDefault="00427F0D" w:rsidP="00427F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6" w:type="dxa"/>
          </w:tcPr>
          <w:p w:rsidR="00427F0D" w:rsidRDefault="00427F0D" w:rsidP="00427F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0" w:type="dxa"/>
          </w:tcPr>
          <w:p w:rsidR="00427F0D" w:rsidRDefault="00427F0D" w:rsidP="00427F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9" w:type="dxa"/>
          </w:tcPr>
          <w:p w:rsidR="00427F0D" w:rsidRDefault="00427F0D" w:rsidP="00427F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8" w:type="dxa"/>
          </w:tcPr>
          <w:p w:rsidR="00427F0D" w:rsidRDefault="00427F0D" w:rsidP="00427F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2" w:type="dxa"/>
          </w:tcPr>
          <w:p w:rsidR="00427F0D" w:rsidRDefault="00427F0D" w:rsidP="00427F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6" w:type="dxa"/>
          </w:tcPr>
          <w:p w:rsidR="00427F0D" w:rsidRDefault="00427F0D" w:rsidP="00427F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E14C5" w:rsidRDefault="00CE14C5">
      <w:pPr>
        <w:sectPr w:rsidR="00CE14C5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521"/>
        <w:gridCol w:w="394"/>
        <w:gridCol w:w="114"/>
        <w:gridCol w:w="4561"/>
        <w:gridCol w:w="422"/>
        <w:gridCol w:w="674"/>
        <w:gridCol w:w="855"/>
        <w:gridCol w:w="1235"/>
        <w:gridCol w:w="294"/>
        <w:gridCol w:w="451"/>
        <w:gridCol w:w="1079"/>
        <w:gridCol w:w="1530"/>
        <w:gridCol w:w="226"/>
        <w:gridCol w:w="1305"/>
        <w:gridCol w:w="29"/>
        <w:gridCol w:w="1502"/>
      </w:tblGrid>
      <w:tr w:rsidR="00CE14C5" w:rsidTr="00427F0D">
        <w:trPr>
          <w:trHeight w:hRule="exact" w:val="252"/>
        </w:trPr>
        <w:tc>
          <w:tcPr>
            <w:tcW w:w="15774" w:type="dxa"/>
            <w:gridSpan w:val="1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bookmarkStart w:id="6" w:name="7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результатів</w:t>
            </w:r>
          </w:p>
        </w:tc>
      </w:tr>
      <w:tr w:rsidR="00D47AD2" w:rsidTr="00D47AD2">
        <w:trPr>
          <w:trHeight w:hRule="exact" w:val="252"/>
        </w:trPr>
        <w:tc>
          <w:tcPr>
            <w:tcW w:w="15774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D47AD2" w:rsidRDefault="00D47AD2">
            <w:pPr>
              <w:spacing w:before="15" w:after="15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Порівняно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чисельність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зменшилась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, що пояснюється 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звільненням</w:t>
            </w:r>
            <w:r w:rsidR="0038106D">
              <w:t xml:space="preserve"> 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</w:t>
            </w:r>
            <w:r w:rsidR="0038106D">
              <w:t xml:space="preserve"> 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CE14C5" w:rsidTr="00D47AD2">
        <w:trPr>
          <w:trHeight w:hRule="exact" w:val="459"/>
        </w:trPr>
        <w:tc>
          <w:tcPr>
            <w:tcW w:w="15774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Pr="0038106D" w:rsidRDefault="00D47AD2" w:rsidP="0038106D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Відхилення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пов'язан</w:t>
            </w:r>
            <w:r w:rsidR="00DD04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вакантними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посадами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(Суд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постійно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працював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повноважності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засідань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(кворум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lang w:val="uk-U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суддів)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</w:tr>
      <w:tr w:rsidR="00CE14C5" w:rsidTr="00D47AD2">
        <w:trPr>
          <w:trHeight w:hRule="exact" w:val="252"/>
        </w:trPr>
        <w:tc>
          <w:tcPr>
            <w:tcW w:w="15774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Водночас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збільшилась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надходжень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скарг,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зумовило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збільшення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кількості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ухвал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колегіями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конституційними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скаргами.</w:t>
            </w:r>
            <w:r>
              <w:t xml:space="preserve"> </w:t>
            </w:r>
          </w:p>
        </w:tc>
      </w:tr>
      <w:tr w:rsidR="00CE14C5" w:rsidTr="00427F0D">
        <w:trPr>
          <w:trHeight w:hRule="exact" w:val="666"/>
        </w:trPr>
        <w:tc>
          <w:tcPr>
            <w:tcW w:w="15774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показники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питомої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ваги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скарг,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розглянутих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встановлений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законодавством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строк,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вплинули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розглядаються.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Розгляд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деяких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потребує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більше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рахунок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ухвал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продовження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строку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колегіями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ухвал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відкриття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провадження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відмову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відкритті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провадження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справі).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Також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однією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причин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є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неповний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Суду.</w:t>
            </w:r>
            <w:r>
              <w:t xml:space="preserve"> </w:t>
            </w:r>
          </w:p>
        </w:tc>
      </w:tr>
      <w:tr w:rsidR="00CE14C5" w:rsidTr="00427F0D">
        <w:trPr>
          <w:trHeight w:hRule="exact" w:val="267"/>
        </w:trPr>
        <w:tc>
          <w:tcPr>
            <w:tcW w:w="1577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Підвищення кваліфікації працівників Конституційного Суду України (тис. грн)</w:t>
            </w:r>
          </w:p>
        </w:tc>
      </w:tr>
      <w:tr w:rsidR="00CE14C5" w:rsidTr="00D47AD2">
        <w:trPr>
          <w:trHeight w:hRule="exact" w:val="267"/>
        </w:trPr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тому числі:</w:t>
            </w:r>
          </w:p>
        </w:tc>
        <w:tc>
          <w:tcPr>
            <w:tcW w:w="580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</w:t>
            </w:r>
          </w:p>
        </w:tc>
        <w:tc>
          <w:tcPr>
            <w:tcW w:w="2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</w:t>
            </w:r>
          </w:p>
        </w:tc>
      </w:tr>
      <w:tr w:rsidR="00CE14C5" w:rsidTr="00D47AD2">
        <w:trPr>
          <w:trHeight w:hRule="exact" w:val="267"/>
        </w:trPr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80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 фонд</w:t>
            </w:r>
          </w:p>
        </w:tc>
        <w:tc>
          <w:tcPr>
            <w:tcW w:w="2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267"/>
        </w:trPr>
        <w:tc>
          <w:tcPr>
            <w:tcW w:w="72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працівників, які підвищили кваліфікацію (одиниць)</w:t>
            </w:r>
          </w:p>
        </w:tc>
        <w:tc>
          <w:tcPr>
            <w:tcW w:w="2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-2,0</w:t>
            </w:r>
          </w:p>
        </w:tc>
      </w:tr>
      <w:tr w:rsidR="00CE14C5" w:rsidTr="00D47AD2">
        <w:trPr>
          <w:trHeight w:hRule="exact" w:val="267"/>
        </w:trPr>
        <w:tc>
          <w:tcPr>
            <w:tcW w:w="72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Середні витрати на підвищення кваліфікації 1 працівника (тис. гривень)</w:t>
            </w:r>
          </w:p>
        </w:tc>
        <w:tc>
          <w:tcPr>
            <w:tcW w:w="2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CE14C5" w:rsidTr="00D47AD2">
        <w:trPr>
          <w:trHeight w:hRule="exact" w:val="252"/>
        </w:trPr>
        <w:tc>
          <w:tcPr>
            <w:tcW w:w="15774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результатів</w:t>
            </w:r>
            <w:r>
              <w:t xml:space="preserve"> </w:t>
            </w:r>
          </w:p>
        </w:tc>
      </w:tr>
      <w:tr w:rsidR="00CE14C5" w:rsidTr="00D47AD2">
        <w:trPr>
          <w:trHeight w:hRule="exact" w:val="459"/>
        </w:trPr>
        <w:tc>
          <w:tcPr>
            <w:tcW w:w="15774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державні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підвищили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кваліфікацію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Автобази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Секретаріату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навчання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пройшли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Автобази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також</w:t>
            </w:r>
            <w:r>
              <w:t xml:space="preserve"> </w:t>
            </w:r>
            <w:r>
              <w:rPr>
                <w:lang w:val="uk-U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працівники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Секретаріату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  <w:tr w:rsidR="00CE14C5" w:rsidTr="00D47AD2">
        <w:trPr>
          <w:trHeight w:hRule="exact" w:val="267"/>
        </w:trPr>
        <w:tc>
          <w:tcPr>
            <w:tcW w:w="1577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Внески до міжнародних організацій, членом яких є Конституційний Суд України  (тис. грн)</w:t>
            </w:r>
          </w:p>
        </w:tc>
      </w:tr>
      <w:tr w:rsidR="00CE14C5" w:rsidTr="00D47AD2">
        <w:trPr>
          <w:trHeight w:hRule="exact" w:val="267"/>
        </w:trPr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тому числі:</w:t>
            </w:r>
          </w:p>
        </w:tc>
        <w:tc>
          <w:tcPr>
            <w:tcW w:w="580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 фонд</w:t>
            </w:r>
          </w:p>
        </w:tc>
        <w:tc>
          <w:tcPr>
            <w:tcW w:w="2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-42,3</w:t>
            </w:r>
          </w:p>
        </w:tc>
      </w:tr>
      <w:tr w:rsidR="00CE14C5" w:rsidTr="00D47AD2">
        <w:trPr>
          <w:trHeight w:hRule="exact" w:val="267"/>
        </w:trPr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80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 фонд</w:t>
            </w:r>
          </w:p>
        </w:tc>
        <w:tc>
          <w:tcPr>
            <w:tcW w:w="2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CE14C5" w:rsidTr="00D47AD2">
        <w:trPr>
          <w:trHeight w:hRule="exact" w:val="481"/>
        </w:trPr>
        <w:tc>
          <w:tcPr>
            <w:tcW w:w="72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Розмір внесків до міжнародних організацій, членом яких є Конституційний Суд України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(тис. гривень)</w:t>
            </w:r>
          </w:p>
        </w:tc>
        <w:tc>
          <w:tcPr>
            <w:tcW w:w="2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-42,3</w:t>
            </w:r>
          </w:p>
        </w:tc>
      </w:tr>
      <w:tr w:rsidR="00CE14C5" w:rsidTr="00D47AD2">
        <w:trPr>
          <w:trHeight w:hRule="exact" w:val="482"/>
        </w:trPr>
        <w:tc>
          <w:tcPr>
            <w:tcW w:w="72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Кількість міжнародних організацій, членом яких є Конституційний Суд України, та 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яких сплачуються внески (одиниць)</w:t>
            </w:r>
          </w:p>
        </w:tc>
        <w:tc>
          <w:tcPr>
            <w:tcW w:w="2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-2,0</w:t>
            </w:r>
          </w:p>
        </w:tc>
      </w:tr>
      <w:tr w:rsidR="00CE14C5" w:rsidTr="00D47AD2">
        <w:trPr>
          <w:trHeight w:hRule="exact" w:val="482"/>
        </w:trPr>
        <w:tc>
          <w:tcPr>
            <w:tcW w:w="72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Рівень виконання фінансових зобов'язань із сплати внесків перед бюджетами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міжнародних організацій, членом яких є Конституційний Суд України (відсотків)</w:t>
            </w:r>
          </w:p>
        </w:tc>
        <w:tc>
          <w:tcPr>
            <w:tcW w:w="2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-100,0</w:t>
            </w:r>
          </w:p>
        </w:tc>
      </w:tr>
      <w:tr w:rsidR="00CE14C5" w:rsidTr="00D47AD2">
        <w:trPr>
          <w:trHeight w:hRule="exact" w:val="252"/>
        </w:trPr>
        <w:tc>
          <w:tcPr>
            <w:tcW w:w="15774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Пояснення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щодо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запланованих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результатів</w:t>
            </w:r>
            <w:r>
              <w:t xml:space="preserve"> </w:t>
            </w:r>
          </w:p>
        </w:tc>
      </w:tr>
      <w:tr w:rsidR="00CE14C5" w:rsidTr="00D47AD2">
        <w:trPr>
          <w:trHeight w:hRule="exact" w:val="459"/>
        </w:trPr>
        <w:tc>
          <w:tcPr>
            <w:tcW w:w="15774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 w:rsidP="0038106D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сплатив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внесок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Всесвітньої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конференції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правосуддя,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внесок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Конференції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європейських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імені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покрив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Республіки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Молдова.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Отже,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повному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обсязі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виконані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зобов'язання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сплати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внесків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перед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міжнародних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організацій,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членом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яких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є.</w:t>
            </w:r>
            <w:r>
              <w:t xml:space="preserve"> </w:t>
            </w:r>
          </w:p>
        </w:tc>
      </w:tr>
      <w:tr w:rsidR="00CE14C5" w:rsidTr="00D47AD2">
        <w:trPr>
          <w:trHeight w:hRule="exact" w:val="252"/>
        </w:trPr>
        <w:tc>
          <w:tcPr>
            <w:tcW w:w="15774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CE14C5" w:rsidRDefault="00D47AD2" w:rsidP="0038106D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році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видатки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сплату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внесків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міжнародних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організацій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передбачено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огляду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обмеженість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фінансового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ресурсу.</w:t>
            </w:r>
            <w:r>
              <w:t xml:space="preserve"> </w:t>
            </w:r>
          </w:p>
        </w:tc>
      </w:tr>
      <w:tr w:rsidR="00CE14C5" w:rsidTr="00D47AD2">
        <w:trPr>
          <w:trHeight w:hRule="exact" w:val="142"/>
        </w:trPr>
        <w:tc>
          <w:tcPr>
            <w:tcW w:w="496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3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21" w:type="dxa"/>
            <w:gridSpan w:val="4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9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283"/>
        </w:trPr>
        <w:tc>
          <w:tcPr>
            <w:tcW w:w="15774" w:type="dxa"/>
            <w:gridSpan w:val="1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Пояснення щодо змін у структурі напрямів використання бюджетних коштів:</w:t>
            </w:r>
          </w:p>
        </w:tc>
      </w:tr>
      <w:tr w:rsidR="00CE14C5" w:rsidTr="00D47AD2">
        <w:trPr>
          <w:trHeight w:hRule="exact" w:val="33"/>
        </w:trPr>
        <w:tc>
          <w:tcPr>
            <w:tcW w:w="15774" w:type="dxa"/>
            <w:gridSpan w:val="17"/>
            <w:vMerge w:val="restart"/>
            <w:tcMar>
              <w:left w:w="34" w:type="dxa"/>
              <w:right w:w="34" w:type="dxa"/>
            </w:tcMar>
            <w:vAlign w:val="bottom"/>
          </w:tcPr>
          <w:p w:rsidR="00CE14C5" w:rsidRDefault="00D47AD2" w:rsidP="00CD03DE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Напрями використання бюджетних коштів та результативні показники у 2024-2025 роках визначали з урахуванням 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обсягу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 коштів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передбачених на виконання бюджетної програми КПКВК 0801010 для досягнення мети та реалізації її завдань.</w:t>
            </w:r>
          </w:p>
        </w:tc>
      </w:tr>
      <w:tr w:rsidR="00CE14C5" w:rsidTr="00D47AD2">
        <w:trPr>
          <w:trHeight w:hRule="exact" w:val="472"/>
        </w:trPr>
        <w:tc>
          <w:tcPr>
            <w:tcW w:w="15774" w:type="dxa"/>
            <w:gridSpan w:val="17"/>
            <w:vMerge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14C5" w:rsidTr="00020EBA">
        <w:trPr>
          <w:trHeight w:hRule="exact" w:val="288"/>
        </w:trPr>
        <w:tc>
          <w:tcPr>
            <w:tcW w:w="15774" w:type="dxa"/>
            <w:gridSpan w:val="17"/>
            <w:tcMar>
              <w:left w:w="34" w:type="dxa"/>
              <w:right w:w="34" w:type="dxa"/>
            </w:tcMar>
            <w:vAlign w:val="bottom"/>
          </w:tcPr>
          <w:p w:rsidR="00CE14C5" w:rsidRDefault="00D47AD2" w:rsidP="00020EBA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2025 році у паспорті бюджетної програми затверджено два напрями використання бюджетних коштів, які також були передбачені і паспортом бюджетної програми у 2024</w:t>
            </w:r>
            <w:r w:rsidR="00020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році.</w:t>
            </w:r>
          </w:p>
        </w:tc>
      </w:tr>
      <w:tr w:rsidR="00CE14C5" w:rsidTr="00D47AD2">
        <w:trPr>
          <w:trHeight w:hRule="exact" w:val="505"/>
        </w:trPr>
        <w:tc>
          <w:tcPr>
            <w:tcW w:w="15774" w:type="dxa"/>
            <w:gridSpan w:val="17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 "Внески до міжнародних організацій, членом яких є Конституційний Суд України" не було передбачено в 2025 році у зв'язку з обмеженими бюджетними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призначеннями.</w:t>
            </w:r>
          </w:p>
        </w:tc>
      </w:tr>
      <w:tr w:rsidR="00CE14C5" w:rsidTr="00D47AD2">
        <w:trPr>
          <w:trHeight w:hRule="exact" w:val="1100"/>
        </w:trPr>
        <w:tc>
          <w:tcPr>
            <w:tcW w:w="49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8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8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E14C5" w:rsidRDefault="00CE14C5">
      <w:pPr>
        <w:sectPr w:rsidR="00CE14C5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339"/>
        <w:gridCol w:w="184"/>
        <w:gridCol w:w="507"/>
        <w:gridCol w:w="4245"/>
        <w:gridCol w:w="323"/>
        <w:gridCol w:w="423"/>
        <w:gridCol w:w="1532"/>
        <w:gridCol w:w="1236"/>
        <w:gridCol w:w="295"/>
        <w:gridCol w:w="1152"/>
        <w:gridCol w:w="380"/>
        <w:gridCol w:w="1533"/>
        <w:gridCol w:w="1532"/>
        <w:gridCol w:w="29"/>
        <w:gridCol w:w="1503"/>
      </w:tblGrid>
      <w:tr w:rsidR="00CE14C5" w:rsidTr="002B606E">
        <w:trPr>
          <w:trHeight w:hRule="exact" w:val="142"/>
        </w:trPr>
        <w:tc>
          <w:tcPr>
            <w:tcW w:w="834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7" w:name="8"/>
            <w:bookmarkEnd w:id="7"/>
          </w:p>
        </w:tc>
        <w:tc>
          <w:tcPr>
            <w:tcW w:w="4957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84" w:type="dxa"/>
            <w:gridSpan w:val="6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5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2B606E">
        <w:trPr>
          <w:trHeight w:hRule="exact" w:val="578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законодавства</w:t>
            </w:r>
          </w:p>
        </w:tc>
      </w:tr>
      <w:tr w:rsidR="00CE14C5" w:rsidTr="002B606E">
        <w:trPr>
          <w:trHeight w:hRule="exact" w:val="142"/>
        </w:trPr>
        <w:tc>
          <w:tcPr>
            <w:tcW w:w="834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57" w:type="dxa"/>
            <w:gridSpan w:val="3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84" w:type="dxa"/>
            <w:gridSpan w:val="6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99" w:type="dxa"/>
            <w:gridSpan w:val="5"/>
            <w:tcMar>
              <w:left w:w="34" w:type="dxa"/>
              <w:right w:w="34" w:type="dxa"/>
            </w:tcMar>
            <w:vAlign w:val="bottom"/>
          </w:tcPr>
          <w:p w:rsidR="00CE14C5" w:rsidRDefault="00CE14C5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</w:p>
        </w:tc>
      </w:tr>
      <w:tr w:rsidR="00CE14C5" w:rsidTr="002B606E">
        <w:trPr>
          <w:trHeight w:hRule="exact" w:val="567"/>
        </w:trPr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Стан врахування пропозицій</w:t>
            </w:r>
          </w:p>
          <w:p w:rsidR="00CE14C5" w:rsidRDefault="00D47AD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 результатами контрольного заходу</w:t>
            </w:r>
          </w:p>
        </w:tc>
      </w:tr>
      <w:tr w:rsidR="00CE14C5" w:rsidTr="002B606E">
        <w:trPr>
          <w:trHeight w:hRule="exact" w:val="284"/>
        </w:trPr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E14C5" w:rsidTr="002B606E">
        <w:trPr>
          <w:trHeight w:hRule="exact" w:val="459"/>
        </w:trPr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 звітному періоді в Конституційному Суді України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контрольні заходи не проводили.</w:t>
            </w:r>
          </w:p>
        </w:tc>
        <w:tc>
          <w:tcPr>
            <w:tcW w:w="4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</w:p>
        </w:tc>
        <w:tc>
          <w:tcPr>
            <w:tcW w:w="4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</w:p>
        </w:tc>
      </w:tr>
      <w:tr w:rsidR="00CE14C5" w:rsidTr="002B606E">
        <w:trPr>
          <w:trHeight w:hRule="exact" w:val="142"/>
        </w:trPr>
        <w:tc>
          <w:tcPr>
            <w:tcW w:w="494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22" w:type="dxa"/>
            <w:gridSpan w:val="4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9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9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9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2B606E">
        <w:trPr>
          <w:trHeight w:hRule="exact" w:val="316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9. Узагальнений висновок про ефективність бюджетної програми:</w:t>
            </w:r>
          </w:p>
        </w:tc>
      </w:tr>
      <w:tr w:rsidR="00CE14C5" w:rsidTr="002B606E">
        <w:trPr>
          <w:trHeight w:hRule="exact" w:val="85"/>
        </w:trPr>
        <w:tc>
          <w:tcPr>
            <w:tcW w:w="494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22" w:type="dxa"/>
            <w:gridSpan w:val="4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9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9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39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2B606E">
        <w:trPr>
          <w:trHeight w:hRule="exact" w:val="291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 w:rsidR="00CE14C5" w:rsidTr="002B606E">
        <w:trPr>
          <w:trHeight w:hRule="exact" w:val="530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 w:rsidP="00D47A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 завдань бюджетної програми було направлене на реалізацію повноважень органу конституційної юрисдикції задля забезпечення дотримання норм Конституції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 щодо прав та свобод людини і громадянина та щодо здійснення публічної влади.</w:t>
            </w:r>
          </w:p>
        </w:tc>
      </w:tr>
      <w:tr w:rsidR="00CE14C5" w:rsidTr="002B606E">
        <w:trPr>
          <w:trHeight w:hRule="exact" w:val="291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ефективність надання публічних послуг</w:t>
            </w:r>
          </w:p>
        </w:tc>
      </w:tr>
      <w:tr w:rsidR="00CE14C5" w:rsidTr="002B606E">
        <w:trPr>
          <w:trHeight w:hRule="exact" w:val="760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 w:rsidP="00CD03D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Громадяни та юридичні особи відповідно до статті </w:t>
            </w:r>
            <w:r w:rsidR="00CD03DE" w:rsidRPr="00CD03D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CFCFC"/>
              </w:rPr>
              <w:t>151</w:t>
            </w:r>
            <w:r w:rsidR="00CD03DE" w:rsidRPr="00CD03D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CFCFC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Конституції України можуть звертатися до Суду з конституційними скаргами щодо відповідності Конституції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(конституційності) законів України за умови, що автор клопотання вважає застосований в остаточному судовому рішенні в її справі закон України таким, що суперечить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Конституції України. Конституційна скарга може бути подана в разі, якщо всі інші національні засоби юридичного захисту вичерпано.</w:t>
            </w:r>
          </w:p>
        </w:tc>
      </w:tr>
      <w:tr w:rsidR="00CE14C5" w:rsidTr="002B606E">
        <w:trPr>
          <w:trHeight w:hRule="exact" w:val="300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 w:rsidR="00CE14C5" w:rsidTr="002B606E">
        <w:trPr>
          <w:trHeight w:hRule="exact" w:val="990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 w:rsidP="00D47A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2025 році бюджетні призначення за бюджетною програмою Суду використані на 92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 від затверджених на рік. Такий стан використання бюджетних коштів частково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зумовлений неповним складом суддів Суду та економією, що виникла внаслідок проведення процедур закупівель згідно з принципом досягнення максимальних результатів 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мінімально можливих витратах.</w:t>
            </w:r>
          </w:p>
        </w:tc>
      </w:tr>
      <w:tr w:rsidR="00CE14C5" w:rsidTr="002B606E">
        <w:trPr>
          <w:trHeight w:hRule="exact" w:val="291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стан фінансової дисципліни</w:t>
            </w:r>
          </w:p>
        </w:tc>
      </w:tr>
      <w:tr w:rsidR="00CE14C5" w:rsidTr="002B606E">
        <w:trPr>
          <w:trHeight w:hRule="exact" w:val="760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Кредиторської заборгованості за загальним фондом державного бюджету немає.</w:t>
            </w:r>
          </w:p>
          <w:p w:rsidR="00CE14C5" w:rsidRDefault="00D47AD2" w:rsidP="00D47AD2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Дебіторська заборгованість за загальним фондом державного бюджету становить 34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це передплата періодичних видань на 2026 рік (КЕКВ 2210). За спеціальним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фондом державного бюджету кредиторської та дебіторської заборгованостей немає.</w:t>
            </w:r>
          </w:p>
        </w:tc>
      </w:tr>
      <w:tr w:rsidR="00CE14C5" w:rsidTr="002B606E">
        <w:trPr>
          <w:trHeight w:hRule="exact" w:val="291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 w:rsidR="00CE14C5" w:rsidTr="002B606E">
        <w:trPr>
          <w:trHeight w:hRule="exact" w:val="530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 w:rsidP="0038106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звітному періоді в Суді контрольні заходи не проводили. 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результатами минулих контрольних заходів у Суді вжито заходи щодо планування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видатків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КЕКВ 2120 "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арахування на оплату праці " з урахуванням осіб з інвалідністю в штаті Суду.</w:t>
            </w:r>
          </w:p>
        </w:tc>
      </w:tr>
      <w:tr w:rsidR="00CE14C5" w:rsidTr="002B606E">
        <w:trPr>
          <w:trHeight w:hRule="exact" w:val="291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 w:rsidR="00CE14C5" w:rsidTr="002B606E">
        <w:trPr>
          <w:trHeight w:hRule="exact" w:val="291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Ефективне використання бюджетних коштів у 2025 році забезпечило виконання запланованих на цей період завдань бюджетної програми.</w:t>
            </w:r>
          </w:p>
        </w:tc>
      </w:tr>
      <w:tr w:rsidR="00CE14C5" w:rsidTr="002B606E">
        <w:trPr>
          <w:trHeight w:hRule="exact" w:val="291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 w:rsidR="00CE14C5" w:rsidTr="002B606E">
        <w:trPr>
          <w:trHeight w:hRule="exact" w:val="760"/>
        </w:trPr>
        <w:tc>
          <w:tcPr>
            <w:tcW w:w="15774" w:type="dxa"/>
            <w:gridSpan w:val="16"/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Затверджені за бюджетною програмою бюджетні призначення на 2025 рік використовували на реалізацію завдань Суду та забезпечення в повному обсязі здійснення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 Судом задля досягнення стратегічної цілі - забезпечення верховенства Конституції України через здійснення конституційного контролю в умовах війни.</w:t>
            </w:r>
          </w:p>
          <w:p w:rsidR="00CE14C5" w:rsidRDefault="00D47AD2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Бюджетна програма є актуальною для її подальшої реалізації.</w:t>
            </w:r>
          </w:p>
        </w:tc>
      </w:tr>
      <w:tr w:rsidR="00CE14C5" w:rsidTr="002B606E">
        <w:trPr>
          <w:trHeight w:hRule="exact" w:val="539"/>
        </w:trPr>
        <w:tc>
          <w:tcPr>
            <w:tcW w:w="49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42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E14C5" w:rsidRDefault="00CE14C5">
      <w:pPr>
        <w:sectPr w:rsidR="00CE14C5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651"/>
        <w:gridCol w:w="58"/>
        <w:gridCol w:w="4528"/>
        <w:gridCol w:w="2173"/>
        <w:gridCol w:w="1030"/>
        <w:gridCol w:w="4431"/>
        <w:gridCol w:w="465"/>
        <w:gridCol w:w="1509"/>
      </w:tblGrid>
      <w:tr w:rsidR="00CE14C5" w:rsidTr="00D47AD2">
        <w:trPr>
          <w:trHeight w:hRule="exact" w:val="142"/>
        </w:trPr>
        <w:tc>
          <w:tcPr>
            <w:tcW w:w="864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8" w:name="9"/>
            <w:bookmarkEnd w:id="8"/>
          </w:p>
        </w:tc>
        <w:tc>
          <w:tcPr>
            <w:tcW w:w="7442" w:type="dxa"/>
            <w:gridSpan w:val="4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468" w:type="dxa"/>
            <w:gridSpan w:val="4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284"/>
        </w:trPr>
        <w:tc>
          <w:tcPr>
            <w:tcW w:w="15774" w:type="dxa"/>
            <w:gridSpan w:val="9"/>
            <w:tcMar>
              <w:left w:w="34" w:type="dxa"/>
              <w:right w:w="34" w:type="dxa"/>
            </w:tcMar>
            <w:vAlign w:val="bottom"/>
          </w:tcPr>
          <w:p w:rsidR="00CE14C5" w:rsidRDefault="00D47AD2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 Заходи із підвищення ефективності бюджетної програми</w:t>
            </w:r>
          </w:p>
        </w:tc>
      </w:tr>
      <w:tr w:rsidR="00CE14C5" w:rsidTr="00D47AD2">
        <w:trPr>
          <w:trHeight w:hRule="exact" w:val="142"/>
        </w:trPr>
        <w:tc>
          <w:tcPr>
            <w:tcW w:w="864" w:type="dxa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442" w:type="dxa"/>
            <w:gridSpan w:val="4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7468" w:type="dxa"/>
            <w:gridSpan w:val="4"/>
            <w:tcMar>
              <w:left w:w="34" w:type="dxa"/>
              <w:right w:w="34" w:type="dxa"/>
            </w:tcMar>
          </w:tcPr>
          <w:p w:rsidR="00CE14C5" w:rsidRDefault="00CE14C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CE14C5" w:rsidTr="00D47AD2">
        <w:trPr>
          <w:trHeight w:hRule="exact" w:val="56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7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Захід</w:t>
            </w:r>
          </w:p>
        </w:tc>
      </w:tr>
      <w:tr w:rsidR="00CE14C5" w:rsidTr="00D47AD2">
        <w:trPr>
          <w:trHeight w:hRule="exact" w:val="283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E14C5" w:rsidTr="00D47AD2">
        <w:trPr>
          <w:trHeight w:hRule="exact" w:val="12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Підвищення ефективності та якості планування потреби у бюджетних коштах за бюджетною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програмою на середньостроковий період</w:t>
            </w:r>
          </w:p>
        </w:tc>
        <w:tc>
          <w:tcPr>
            <w:tcW w:w="7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Неухильне дотримання вимог Порядку формування та затвердження планово-фінансових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документів у Суді, затвердженого Розпорядженням Голови Суду від 19 червня 2023 року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49/01/2023-ОД.</w:t>
            </w:r>
          </w:p>
          <w:p w:rsidR="00CE14C5" w:rsidRDefault="00D47AD2" w:rsidP="0038106D">
            <w:pPr>
              <w:spacing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Виконання заходів щодо ефективного та раціонального використання державних коштів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передбачених для утримання Суду згідно з Розпорядженням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Голови Суду від 15 травня 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 року № 41/1/2018-ОД (зі змінами).</w:t>
            </w:r>
          </w:p>
        </w:tc>
      </w:tr>
      <w:tr w:rsidR="00CE14C5" w:rsidTr="00D47AD2">
        <w:trPr>
          <w:trHeight w:hRule="exact" w:val="1701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Реалізація стратегічних та пріоритетних напрямів розвитку, задоволення інформаційних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 та використання інформаційних ресурсів для прийняття ефективних державних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управлінських рішень</w:t>
            </w:r>
          </w:p>
        </w:tc>
        <w:tc>
          <w:tcPr>
            <w:tcW w:w="7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Впровадження інформаційних технологій у роботі Суду, а також автоматизація його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діяльності згідно з Розпорядженням керівника Секретаріату Суду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"Про затвердження Стратегії інформаційно-технологічного розвитку Конституційного Суду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України на період до 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 року".</w:t>
            </w:r>
          </w:p>
          <w:p w:rsidR="00CE14C5" w:rsidRDefault="00D47AD2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Доопрацювання нового офіційного вебсайту Суду відповідно до норм чинного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законодавства, а також з урахуванням пропозицій суддів Суду.</w:t>
            </w:r>
          </w:p>
          <w:p w:rsidR="00CE14C5" w:rsidRPr="0038106D" w:rsidRDefault="00D47AD2" w:rsidP="0038106D">
            <w:pPr>
              <w:spacing w:after="15" w:line="238" w:lineRule="auto"/>
              <w:ind w:left="30" w:right="30"/>
              <w:jc w:val="both"/>
              <w:rPr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Заходи із заміни програмного забезпечення та комп’ютерного обладнання системи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електронного документообігу й стенографічного комплексу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Суду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</w:tr>
      <w:tr w:rsidR="00CE14C5" w:rsidTr="00D47AD2">
        <w:trPr>
          <w:trHeight w:hRule="exact" w:val="873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 w:rsidP="0038106D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Підвищення ефективності та результативності використання бюджетних коштів 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під час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здійсненн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закупівель товарів, робіт і послуг</w:t>
            </w:r>
          </w:p>
        </w:tc>
        <w:tc>
          <w:tcPr>
            <w:tcW w:w="7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 w:rsidP="0038106D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Здійснення закупівель відповідно до "Положення про планування та організацію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публічних закупівель, укладання договорів та контроль за їх виконанням у Конституційному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Суді України", затвердженого Розпорядженням Голови Суду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 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грудня 2021 року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№ 32/01/2021-АГ(зі змінами).</w:t>
            </w:r>
          </w:p>
        </w:tc>
      </w:tr>
      <w:tr w:rsidR="00CE14C5" w:rsidTr="00D47AD2">
        <w:trPr>
          <w:trHeight w:hRule="exact" w:val="873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Посилення внутрішнього контролю, забезпечення незалежного нагляду за використанням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коштів</w:t>
            </w:r>
          </w:p>
        </w:tc>
        <w:tc>
          <w:tcPr>
            <w:tcW w:w="7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 w:rsidP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Забезпечення роботи Аудиторського комітету Суду згідно з Розпорядженням Голови Суду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 10 грудня 2025 року № 94/01/2025-ОД та дотримання стандартів діяльності 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внутрішнього аудиту в Секретаріаті Суду та Автобазі Суду, затверджених Розпорядженням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Голови  Суду від 12 грудня 2024 року № 121/01/2024-ОД (зі змінами).</w:t>
            </w:r>
          </w:p>
        </w:tc>
      </w:tr>
      <w:tr w:rsidR="00CE14C5" w:rsidTr="00D47AD2">
        <w:trPr>
          <w:trHeight w:hRule="exact" w:val="873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CE14C5" w:rsidRDefault="00D47AD2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Врахування ґендерних аспектів під час формування показникі</w:t>
            </w:r>
            <w:r w:rsidR="003810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бюджетної програми</w:t>
            </w:r>
          </w:p>
        </w:tc>
        <w:tc>
          <w:tcPr>
            <w:tcW w:w="7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47AD2" w:rsidRDefault="00D47AD2" w:rsidP="00D47AD2">
            <w:pPr>
              <w:spacing w:before="15"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Врахування ґендерних аспектів під час формування бюджетних пропозицій, пропозицій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 бюджетного запиту, розрахунків до кошторису, паспорта бюджетної програми.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</w:p>
          <w:p w:rsidR="00CE14C5" w:rsidRDefault="00D47AD2" w:rsidP="00D47AD2">
            <w:pPr>
              <w:spacing w:before="15" w:after="0" w:line="238" w:lineRule="auto"/>
              <w:ind w:left="30" w:right="3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Розміщення та оновлення на офіційному вебсайті Суду інформації щодо ґендерного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аспекту в діяльності Суду (вкладка "Публічна інформація /Ґендерна рівність").</w:t>
            </w:r>
          </w:p>
        </w:tc>
      </w:tr>
      <w:tr w:rsidR="00CE14C5" w:rsidTr="00D47AD2">
        <w:trPr>
          <w:trHeight w:hRule="exact" w:val="567"/>
        </w:trPr>
        <w:tc>
          <w:tcPr>
            <w:tcW w:w="86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48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83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34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51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6" w:type="dxa"/>
          </w:tcPr>
          <w:p w:rsidR="00CE14C5" w:rsidRDefault="00CE14C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E14C5" w:rsidRDefault="00CE14C5" w:rsidP="002B606E">
      <w:bookmarkStart w:id="9" w:name="_GoBack"/>
      <w:bookmarkEnd w:id="9"/>
    </w:p>
    <w:sectPr w:rsidR="00CE14C5">
      <w:pgSz w:w="16840" w:h="11907" w:orient="landscape"/>
      <w:pgMar w:top="106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0EBA"/>
    <w:rsid w:val="0002418B"/>
    <w:rsid w:val="00057274"/>
    <w:rsid w:val="00164B4F"/>
    <w:rsid w:val="001F0BC7"/>
    <w:rsid w:val="002B606E"/>
    <w:rsid w:val="002C0CE1"/>
    <w:rsid w:val="0038106D"/>
    <w:rsid w:val="003C5130"/>
    <w:rsid w:val="00427F0D"/>
    <w:rsid w:val="007444C5"/>
    <w:rsid w:val="007F70D0"/>
    <w:rsid w:val="00B812C7"/>
    <w:rsid w:val="00BB7705"/>
    <w:rsid w:val="00CD03DE"/>
    <w:rsid w:val="00CE14C5"/>
    <w:rsid w:val="00D31453"/>
    <w:rsid w:val="00D47AD2"/>
    <w:rsid w:val="00DD0497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6591B"/>
  <w15:docId w15:val="{103F2945-11B9-4A86-B4DC-268006EC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42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2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2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17636</Words>
  <Characters>10053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esop_forms_n223_effectpasport</vt:lpstr>
    </vt:vector>
  </TitlesOfParts>
  <Company/>
  <LinksUpToDate>false</LinksUpToDate>
  <CharactersWithSpaces>27634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  <cp:lastModifiedBy>Юлія О. Рара</cp:lastModifiedBy>
  <cp:revision>2</cp:revision>
  <cp:lastPrinted>2026-02-13T09:35:00Z</cp:lastPrinted>
  <dcterms:created xsi:type="dcterms:W3CDTF">2026-02-13T09:56:00Z</dcterms:created>
  <dcterms:modified xsi:type="dcterms:W3CDTF">2026-02-13T09:56:00Z</dcterms:modified>
</cp:coreProperties>
</file>